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80" w:rightFromText="180" w:vertAnchor="page" w:horzAnchor="page" w:tblpX="1463" w:tblpY="1325"/>
        <w:tblOverlap w:val="never"/>
        <w:tblW w:w="9797" w:type="dxa"/>
        <w:tblLayout w:type="fixed"/>
        <w:tblLook w:val="04A0" w:firstRow="1" w:lastRow="0" w:firstColumn="1" w:lastColumn="0" w:noHBand="0" w:noVBand="1"/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:rsidR="001E1763" w14:paraId="387B4E58" w14:textId="77777777" w:rsidTr="001E176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6"/>
        </w:trPr>
        <w:tc>
          <w:tcPr>
            <w:tcW w:w="1992" w:type="dxa"/>
          </w:tcPr>
          <w:p w14:paraId="5B866B5D" w14:textId="77777777" w:rsidR="001E1763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604" w:type="dxa"/>
            <w:gridSpan w:val="2"/>
          </w:tcPr>
          <w:p w14:paraId="4ED1BFC7" w14:textId="77777777" w:rsidR="001E1763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387" w:type="dxa"/>
          </w:tcPr>
          <w:p w14:paraId="5FB70BD5" w14:textId="77777777" w:rsidR="001E1763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428" w:type="dxa"/>
            <w:gridSpan w:val="2"/>
          </w:tcPr>
          <w:p w14:paraId="0C4DE2B8" w14:textId="77777777" w:rsidR="001E1763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386" w:type="dxa"/>
            <w:gridSpan w:val="2"/>
          </w:tcPr>
          <w:p w14:paraId="22FF5562" w14:textId="77777777" w:rsidR="001E1763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1E1763" w14:paraId="0A4463C5" w14:textId="77777777" w:rsidTr="001E1763">
        <w:trPr>
          <w:trHeight w:val="496"/>
        </w:trPr>
        <w:tc>
          <w:tcPr>
            <w:tcW w:w="1992" w:type="dxa"/>
          </w:tcPr>
          <w:p w14:paraId="6D795338" w14:textId="77777777" w:rsidR="001E1763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S#24-09</w:t>
            </w:r>
          </w:p>
        </w:tc>
        <w:tc>
          <w:tcPr>
            <w:tcW w:w="1604" w:type="dxa"/>
            <w:gridSpan w:val="2"/>
          </w:tcPr>
          <w:p w14:paraId="627A6F99" w14:textId="77777777" w:rsidR="001E1763" w:rsidRDefault="00000000">
            <w:pPr>
              <w:spacing w:after="0" w:line="240" w:lineRule="auto"/>
              <w:jc w:val="center"/>
              <w:rPr>
                <w:rStyle w:val="Hyperlink"/>
                <w:rFonts w:ascii="Segoe UI" w:eastAsia="Segoe UI" w:hAnsi="Segoe UI" w:cs="Segoe UI"/>
                <w:color w:val="0052CC"/>
                <w:sz w:val="20"/>
                <w:szCs w:val="20"/>
                <w:shd w:val="clear" w:color="auto" w:fill="FFFFFF"/>
              </w:rPr>
            </w:pPr>
            <w:r>
              <w:rPr>
                <w:rStyle w:val="Hyperlink"/>
                <w:rFonts w:ascii="Segoe UI" w:eastAsia="Segoe UI" w:hAnsi="Segoe UI" w:cs="Segoe UI"/>
                <w:color w:val="0052CC"/>
                <w:sz w:val="18"/>
                <w:szCs w:val="18"/>
                <w:shd w:val="clear" w:color="auto" w:fill="FFFFFF"/>
              </w:rPr>
              <w:t>LINXERP-19671</w:t>
            </w:r>
          </w:p>
        </w:tc>
        <w:tc>
          <w:tcPr>
            <w:tcW w:w="1387" w:type="dxa"/>
          </w:tcPr>
          <w:p w14:paraId="0E181BEC" w14:textId="77777777" w:rsidR="001E1763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428" w:type="dxa"/>
            <w:gridSpan w:val="2"/>
          </w:tcPr>
          <w:p w14:paraId="4DF3F052" w14:textId="77777777" w:rsidR="001E1763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02.24</w:t>
            </w:r>
          </w:p>
        </w:tc>
        <w:tc>
          <w:tcPr>
            <w:tcW w:w="3386" w:type="dxa"/>
            <w:gridSpan w:val="2"/>
          </w:tcPr>
          <w:p w14:paraId="22574D7C" w14:textId="77777777" w:rsidR="001E1763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rFonts w:ascii="Tahoma" w:eastAsia="Tahoma" w:hAnsi="Tahoma" w:cs="Tahoma"/>
                <w:b/>
                <w:bCs/>
                <w:color w:val="15428B"/>
                <w:sz w:val="13"/>
                <w:szCs w:val="13"/>
                <w:shd w:val="clear" w:color="auto" w:fill="CDDEF3"/>
              </w:rPr>
              <w:t>SHOP-VL-814</w:t>
            </w:r>
          </w:p>
        </w:tc>
      </w:tr>
      <w:tr w:rsidR="001E1763" w14:paraId="28D94A16" w14:textId="77777777" w:rsidTr="001E1763">
        <w:trPr>
          <w:trHeight w:val="236"/>
        </w:trPr>
        <w:tc>
          <w:tcPr>
            <w:tcW w:w="3134" w:type="dxa"/>
            <w:gridSpan w:val="2"/>
            <w:shd w:val="clear" w:color="auto" w:fill="7030A0"/>
          </w:tcPr>
          <w:p w14:paraId="7CB4283F" w14:textId="77777777" w:rsidR="001E1763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</w:tcPr>
          <w:p w14:paraId="2678F51F" w14:textId="77777777" w:rsidR="001E1763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</w:tcPr>
          <w:p w14:paraId="09606009" w14:textId="77777777" w:rsidR="001E1763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28" w:type="dxa"/>
            <w:shd w:val="clear" w:color="auto" w:fill="7030A0"/>
          </w:tcPr>
          <w:p w14:paraId="5150EE78" w14:textId="77777777" w:rsidR="001E1763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1E1763" w14:paraId="1F2D9A74" w14:textId="77777777" w:rsidTr="001E1763">
        <w:trPr>
          <w:trHeight w:val="495"/>
        </w:trPr>
        <w:tc>
          <w:tcPr>
            <w:tcW w:w="3134" w:type="dxa"/>
            <w:gridSpan w:val="2"/>
          </w:tcPr>
          <w:p w14:paraId="32FBF553" w14:textId="77777777" w:rsidR="001E1763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282" w:type="dxa"/>
            <w:gridSpan w:val="3"/>
          </w:tcPr>
          <w:p w14:paraId="06FF47FF" w14:textId="77777777" w:rsidR="001E1763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53" w:type="dxa"/>
            <w:gridSpan w:val="2"/>
          </w:tcPr>
          <w:p w14:paraId="0A79C91F" w14:textId="77777777" w:rsidR="001E1763" w:rsidRDefault="00000000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25-09-2024 a 26-09-2024</w:t>
            </w:r>
          </w:p>
        </w:tc>
        <w:tc>
          <w:tcPr>
            <w:tcW w:w="2528" w:type="dxa"/>
          </w:tcPr>
          <w:p w14:paraId="7D2568AC" w14:textId="77777777" w:rsidR="001E1763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Ivanei brito</w:t>
            </w:r>
          </w:p>
        </w:tc>
      </w:tr>
      <w:tr w:rsidR="001E1763" w14:paraId="6A67B4DF" w14:textId="77777777" w:rsidTr="001E1763">
        <w:trPr>
          <w:trHeight w:val="846"/>
        </w:trPr>
        <w:tc>
          <w:tcPr>
            <w:tcW w:w="9797" w:type="dxa"/>
            <w:gridSpan w:val="8"/>
          </w:tcPr>
          <w:p w14:paraId="338B134E" w14:textId="77777777" w:rsidR="001E1763" w:rsidRDefault="00000000">
            <w:pPr>
              <w:numPr>
                <w:ilvl w:val="0"/>
                <w:numId w:val="1"/>
              </w:numPr>
              <w:spacing w:before="0" w:after="0"/>
              <w:ind w:left="0" w:right="0"/>
              <w:rPr>
                <w:sz w:val="28"/>
                <w:szCs w:val="28"/>
              </w:rPr>
            </w:pPr>
            <w:r>
              <w:rPr>
                <w:rFonts w:ascii="Segoe UI" w:eastAsia="Segoe UI" w:hAnsi="Segoe UI" w:cs="Segoe UI"/>
                <w:color w:val="0052CC"/>
                <w:sz w:val="28"/>
                <w:szCs w:val="28"/>
                <w:shd w:val="clear" w:color="auto" w:fill="FFFFFF"/>
              </w:rPr>
              <w:t xml:space="preserve">    </w:t>
            </w:r>
            <w:hyperlink r:id="rId8" w:tooltip="Integração dos Livros Fiscais em Lote" w:history="1">
              <w:r>
                <w:rPr>
                  <w:rStyle w:val="Hyperlink"/>
                  <w:rFonts w:ascii="Segoe UI" w:eastAsia="Segoe UI" w:hAnsi="Segoe UI" w:cs="Segoe UI"/>
                  <w:color w:val="0052CC"/>
                  <w:sz w:val="28"/>
                  <w:szCs w:val="28"/>
                  <w:shd w:val="clear" w:color="auto" w:fill="FFFFFF"/>
                </w:rPr>
                <w:t>LINXERP-19671 Integração dos Livros Fiscais em Lote</w:t>
              </w:r>
            </w:hyperlink>
          </w:p>
          <w:p w14:paraId="797075E4" w14:textId="77777777" w:rsidR="001E1763" w:rsidRDefault="001E1763">
            <w:pPr>
              <w:numPr>
                <w:ilvl w:val="0"/>
                <w:numId w:val="2"/>
              </w:numPr>
              <w:spacing w:before="0" w:after="0"/>
              <w:ind w:left="0" w:right="0"/>
              <w:jc w:val="both"/>
              <w:rPr>
                <w:rFonts w:ascii="Segoe UI" w:eastAsia="Segoe UI" w:hAnsi="Segoe UI" w:cs="Segoe UI"/>
                <w:color w:val="0052CC"/>
                <w:shd w:val="clear" w:color="auto" w:fill="FFFFFF"/>
              </w:rPr>
            </w:pPr>
          </w:p>
        </w:tc>
      </w:tr>
    </w:tbl>
    <w:p w14:paraId="2792B165" w14:textId="77777777" w:rsidR="001E1763" w:rsidRDefault="001E1763">
      <w:pPr>
        <w:spacing w:after="0"/>
        <w:ind w:left="-360"/>
        <w:rPr>
          <w:rFonts w:ascii="Segoe UI" w:eastAsia="Segoe UI" w:hAnsi="Segoe UI" w:cs="Segoe UI"/>
          <w:color w:val="0052CC"/>
          <w:shd w:val="clear" w:color="auto" w:fill="FFFFFF"/>
        </w:rPr>
      </w:pPr>
    </w:p>
    <w:p w14:paraId="41AC3620" w14:textId="77777777" w:rsidR="001E1763" w:rsidRDefault="00000000">
      <w:pPr>
        <w:rPr>
          <w:rFonts w:eastAsia="Times New Roman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eastAsia="Times New Roman"/>
          <w:color w:val="7030A0"/>
          <w:kern w:val="32"/>
          <w:sz w:val="32"/>
          <w:szCs w:val="32"/>
          <w:lang w:val="en-US" w:eastAsia="pt-BR"/>
        </w:rPr>
        <w:t>.</w:t>
      </w:r>
    </w:p>
    <w:p w14:paraId="06A53994" w14:textId="77777777" w:rsidR="001E1763" w:rsidRDefault="00000000">
      <w:pPr>
        <w:rPr>
          <w:rFonts w:eastAsia="Times New Roman"/>
          <w:color w:val="7030A0"/>
          <w:kern w:val="32"/>
          <w:sz w:val="32"/>
          <w:szCs w:val="32"/>
          <w:lang w:val="en-US" w:eastAsia="pt-BR"/>
        </w:rPr>
      </w:pPr>
      <w:r>
        <w:rPr>
          <w:rFonts w:asciiTheme="majorHAnsi" w:eastAsia="Times New Roman" w:hAnsiTheme="majorHAnsi"/>
          <w:kern w:val="32"/>
          <w:sz w:val="24"/>
          <w:szCs w:val="24"/>
          <w:lang w:val="en-US" w:eastAsia="pt-BR"/>
        </w:rPr>
        <w:t xml:space="preserve">Melhoria na tela de integração de livros fiscais para tornar </w:t>
      </w:r>
      <w:r w:rsidRPr="00DE5EA4">
        <w:rPr>
          <w:rFonts w:asciiTheme="majorHAnsi" w:eastAsia="Times New Roman" w:hAnsiTheme="majorHAnsi"/>
          <w:kern w:val="32"/>
          <w:sz w:val="24"/>
          <w:szCs w:val="24"/>
          <w:lang w:eastAsia="pt-BR"/>
        </w:rPr>
        <w:t>a</w:t>
      </w:r>
      <w:r>
        <w:rPr>
          <w:rFonts w:asciiTheme="majorHAnsi" w:eastAsia="Times New Roman" w:hAnsiTheme="majorHAnsi"/>
          <w:kern w:val="32"/>
          <w:sz w:val="24"/>
          <w:szCs w:val="24"/>
          <w:lang w:val="en-US" w:eastAsia="pt-BR"/>
        </w:rPr>
        <w:t xml:space="preserve"> integração mais rapidamente. </w:t>
      </w:r>
    </w:p>
    <w:p w14:paraId="0B9E8EFA" w14:textId="77777777" w:rsidR="001E1763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Critérios de aceite.</w:t>
      </w:r>
    </w:p>
    <w:p w14:paraId="5CDFC6BD" w14:textId="77777777" w:rsidR="001E1763" w:rsidRDefault="001E1763">
      <w:pPr>
        <w:rPr>
          <w:lang w:eastAsia="pt-BR"/>
        </w:rPr>
      </w:pPr>
    </w:p>
    <w:p w14:paraId="0FD82A2A" w14:textId="77777777" w:rsidR="001E1763" w:rsidRDefault="00000000">
      <w:pPr>
        <w:rPr>
          <w:rFonts w:asciiTheme="majorHAnsi" w:eastAsia="Times New Roman" w:hAnsiTheme="majorHAnsi"/>
          <w:kern w:val="32"/>
          <w:sz w:val="24"/>
          <w:szCs w:val="24"/>
          <w:lang w:eastAsia="pt-BR"/>
        </w:rPr>
      </w:pPr>
      <w:r>
        <w:rPr>
          <w:rFonts w:asciiTheme="majorHAnsi" w:eastAsia="Times New Roman" w:hAnsiTheme="majorHAnsi"/>
          <w:kern w:val="32"/>
          <w:sz w:val="24"/>
          <w:szCs w:val="24"/>
          <w:lang w:eastAsia="pt-BR"/>
        </w:rPr>
        <w:t>Este parâmetro possibilita a integração de notas em livros fiscais com apenas uma chamada da rotina de banco de dados, agilizando a operação.</w:t>
      </w:r>
    </w:p>
    <w:p w14:paraId="72D63724" w14:textId="77777777" w:rsidR="001E1763" w:rsidRDefault="00000000">
      <w:pPr>
        <w:rPr>
          <w:rFonts w:asciiTheme="majorHAnsi" w:eastAsia="Times New Roman" w:hAnsiTheme="majorHAnsi"/>
          <w:kern w:val="32"/>
          <w:sz w:val="24"/>
          <w:szCs w:val="24"/>
          <w:lang w:eastAsia="pt-BR"/>
        </w:rPr>
      </w:pPr>
      <w:r>
        <w:rPr>
          <w:rFonts w:asciiTheme="majorHAnsi" w:eastAsia="Times New Roman" w:hAnsiTheme="majorHAnsi"/>
          <w:b/>
          <w:bCs/>
          <w:kern w:val="32"/>
          <w:sz w:val="24"/>
          <w:szCs w:val="24"/>
          <w:u w:val="single"/>
          <w:lang w:eastAsia="pt-BR"/>
        </w:rPr>
        <w:t>(Não)</w:t>
      </w:r>
      <w:r>
        <w:rPr>
          <w:rFonts w:asciiTheme="majorHAnsi" w:eastAsia="Times New Roman" w:hAnsiTheme="majorHAnsi"/>
          <w:kern w:val="32"/>
          <w:sz w:val="24"/>
          <w:szCs w:val="24"/>
          <w:lang w:eastAsia="pt-BR"/>
        </w:rPr>
        <w:t xml:space="preserve"> - Segue o padrão atual, executando a rotina de integração individualizada para cada matriz fiscal.</w:t>
      </w:r>
    </w:p>
    <w:p w14:paraId="1F0E4E86" w14:textId="77777777" w:rsidR="001E1763" w:rsidRDefault="00000000">
      <w:pPr>
        <w:rPr>
          <w:rFonts w:eastAsia="Times New Roman"/>
          <w:kern w:val="32"/>
          <w:sz w:val="32"/>
          <w:szCs w:val="32"/>
          <w:lang w:eastAsia="pt-BR"/>
        </w:rPr>
      </w:pPr>
      <w:r>
        <w:rPr>
          <w:rFonts w:asciiTheme="majorHAnsi" w:eastAsia="Times New Roman" w:hAnsiTheme="majorHAnsi"/>
          <w:b/>
          <w:bCs/>
          <w:kern w:val="32"/>
          <w:sz w:val="24"/>
          <w:szCs w:val="24"/>
          <w:u w:val="single"/>
          <w:lang w:eastAsia="pt-BR"/>
        </w:rPr>
        <w:t xml:space="preserve">(Sim) </w:t>
      </w:r>
      <w:r>
        <w:rPr>
          <w:rFonts w:asciiTheme="majorHAnsi" w:eastAsia="Times New Roman" w:hAnsiTheme="majorHAnsi"/>
          <w:kern w:val="32"/>
          <w:sz w:val="24"/>
          <w:szCs w:val="24"/>
          <w:lang w:eastAsia="pt-BR"/>
        </w:rPr>
        <w:t>- Executa a integração das notas com apenas uma execução da rotina</w:t>
      </w:r>
      <w:r>
        <w:rPr>
          <w:rFonts w:eastAsia="Times New Roman"/>
          <w:kern w:val="32"/>
          <w:sz w:val="32"/>
          <w:szCs w:val="32"/>
          <w:lang w:eastAsia="pt-BR"/>
        </w:rPr>
        <w:t>.</w:t>
      </w:r>
    </w:p>
    <w:p w14:paraId="02E73AA2" w14:textId="77777777" w:rsidR="001E1763" w:rsidRDefault="00000000">
      <w:pPr>
        <w:rPr>
          <w:rFonts w:ascii="Segoe UI" w:eastAsia="Segoe UI" w:hAnsi="Segoe UI" w:cs="Segoe UI"/>
          <w:color w:val="172B4D"/>
          <w:sz w:val="14"/>
          <w:szCs w:val="14"/>
        </w:rPr>
      </w:pPr>
      <w:hyperlink r:id="rId9" w:tooltip="Seguir link" w:history="1"/>
    </w:p>
    <w:p w14:paraId="7BC1050E" w14:textId="77777777" w:rsidR="001E1763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36EBF0BC" w14:textId="77777777" w:rsidR="001E1763" w:rsidRDefault="001E1763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147F3670" w14:textId="77777777" w:rsidR="001E1763" w:rsidRDefault="00000000">
      <w:r>
        <w:rPr>
          <w:noProof/>
        </w:rPr>
        <w:lastRenderedPageBreak/>
        <w:drawing>
          <wp:inline distT="0" distB="0" distL="114300" distR="114300" wp14:anchorId="73FAE0EB" wp14:editId="7A939493">
            <wp:extent cx="5268595" cy="3342005"/>
            <wp:effectExtent l="0" t="0" r="4445" b="1079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342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82DDE" w14:textId="77777777" w:rsidR="001E1763" w:rsidRDefault="001E1763"/>
    <w:p w14:paraId="24E48CEB" w14:textId="77777777" w:rsidR="001E1763" w:rsidRDefault="001E1763"/>
    <w:p w14:paraId="6EFEE32B" w14:textId="77777777" w:rsidR="001E1763" w:rsidRDefault="001E1763"/>
    <w:p w14:paraId="435DD39E" w14:textId="14441658" w:rsidR="001E1763" w:rsidRDefault="00EC7FA9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3CA7AD3" wp14:editId="1319F275">
                <wp:simplePos x="0" y="0"/>
                <wp:positionH relativeFrom="column">
                  <wp:posOffset>774700</wp:posOffset>
                </wp:positionH>
                <wp:positionV relativeFrom="paragraph">
                  <wp:posOffset>1339215</wp:posOffset>
                </wp:positionV>
                <wp:extent cx="584200" cy="107950"/>
                <wp:effectExtent l="0" t="0" r="25400" b="25400"/>
                <wp:wrapNone/>
                <wp:docPr id="451521293" name="Retângu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4200" cy="10795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chemeClr val="tx1">
                                <a:lumMod val="50000"/>
                                <a:lumOff val="5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tx1">
                                <a:lumMod val="50000"/>
                                <a:lumOff val="5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tx1">
                                <a:lumMod val="50000"/>
                                <a:lumOff val="5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3B9E1F" id="Retângulo 2" o:spid="_x0000_s1026" style="position:absolute;margin-left:61pt;margin-top:105.45pt;width:46pt;height: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" fillcolor="gray [1629]" strokecolor="#091723 [484]" strokeweight="1pt">
                <v:fill color2="gray [1629]" rotate="t" focusposition=".5,.5" focussize="" colors="0 #b8b8b8;.5 #d3d3d3;1 #e9e9e9" focus="100%" type="gradientRadial"/>
              </v:rect>
            </w:pict>
          </mc:Fallback>
        </mc:AlternateContent>
      </w:r>
      <w:r>
        <w:rPr>
          <w:noProof/>
        </w:rPr>
        <w:drawing>
          <wp:inline distT="0" distB="0" distL="114300" distR="114300" wp14:anchorId="0AB7B953" wp14:editId="454D6A9C">
            <wp:extent cx="5267960" cy="3456305"/>
            <wp:effectExtent l="0" t="0" r="5080" b="317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456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8C3CED" w14:textId="77777777" w:rsidR="001E1763" w:rsidRDefault="00000000">
      <w:r>
        <w:rPr>
          <w:noProof/>
        </w:rPr>
        <w:lastRenderedPageBreak/>
        <w:drawing>
          <wp:inline distT="0" distB="0" distL="114300" distR="114300" wp14:anchorId="45FFCB1F" wp14:editId="0120460C">
            <wp:extent cx="5273675" cy="3454400"/>
            <wp:effectExtent l="0" t="0" r="14605" b="508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45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0A127B" w14:textId="77777777" w:rsidR="001E1763" w:rsidRDefault="001E1763"/>
    <w:p w14:paraId="2973F657" w14:textId="77777777" w:rsidR="001E1763" w:rsidRDefault="001E1763"/>
    <w:p w14:paraId="60BE3E25" w14:textId="77777777" w:rsidR="001E1763" w:rsidRDefault="001E1763"/>
    <w:p w14:paraId="7D6309C6" w14:textId="77777777" w:rsidR="001E1763" w:rsidRDefault="001E1763"/>
    <w:p w14:paraId="5B7AE631" w14:textId="77777777" w:rsidR="001E1763" w:rsidRDefault="001E1763"/>
    <w:p w14:paraId="14DDC9FC" w14:textId="77777777" w:rsidR="001E1763" w:rsidRDefault="001E1763"/>
    <w:p w14:paraId="1B9A7668" w14:textId="77777777" w:rsidR="001E1763" w:rsidRDefault="00000000">
      <w:r>
        <w:rPr>
          <w:noProof/>
        </w:rPr>
        <w:drawing>
          <wp:inline distT="0" distB="0" distL="114300" distR="114300" wp14:anchorId="4E2BEF68" wp14:editId="068C59B4">
            <wp:extent cx="5271135" cy="3396615"/>
            <wp:effectExtent l="0" t="0" r="1905" b="190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396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BD2D8E" w14:textId="6E952FF0" w:rsidR="001E1763" w:rsidRDefault="009F711F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5CF28F" wp14:editId="0A88082D">
                <wp:simplePos x="0" y="0"/>
                <wp:positionH relativeFrom="column">
                  <wp:posOffset>762000</wp:posOffset>
                </wp:positionH>
                <wp:positionV relativeFrom="paragraph">
                  <wp:posOffset>1066800</wp:posOffset>
                </wp:positionV>
                <wp:extent cx="609600" cy="146050"/>
                <wp:effectExtent l="0" t="0" r="19050" b="25400"/>
                <wp:wrapNone/>
                <wp:docPr id="996844172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" cy="146050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chemeClr val="bg2">
                                <a:lumMod val="90000"/>
                                <a:shade val="30000"/>
                                <a:satMod val="115000"/>
                              </a:schemeClr>
                            </a:gs>
                            <a:gs pos="50000">
                              <a:schemeClr val="bg2">
                                <a:lumMod val="90000"/>
                                <a:shade val="67500"/>
                                <a:satMod val="115000"/>
                              </a:schemeClr>
                            </a:gs>
                            <a:gs pos="100000">
                              <a:schemeClr val="bg2">
                                <a:lumMod val="90000"/>
                                <a:shade val="100000"/>
                                <a:satMod val="115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5872F2" id="Retângulo 1" o:spid="_x0000_s1026" style="position:absolute;margin-left:60pt;margin-top:84pt;width:48pt;height:1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" fillcolor="#cfcdcd [2894]" strokecolor="#091723 [484]" strokeweight="1pt">
                <v:fill color2="#cfcdcd [2894]" rotate="t" focusposition=".5,.5" focussize="" colors="0 #797777;.5 #afadad;1 #d1cece" focus="100%" type="gradientRadial"/>
              </v:rect>
            </w:pict>
          </mc:Fallback>
        </mc:AlternateContent>
      </w:r>
      <w:r>
        <w:rPr>
          <w:noProof/>
        </w:rPr>
        <w:drawing>
          <wp:inline distT="0" distB="0" distL="114300" distR="114300" wp14:anchorId="515A0311" wp14:editId="11FE0EE9">
            <wp:extent cx="5269865" cy="3390265"/>
            <wp:effectExtent l="0" t="0" r="6985" b="635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390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8955C8" w14:textId="77777777" w:rsidR="001E1763" w:rsidRDefault="001E1763">
      <w:pPr>
        <w:rPr>
          <w:lang w:val="en-US" w:eastAsia="pt-BR"/>
        </w:rPr>
      </w:pPr>
    </w:p>
    <w:p w14:paraId="1AACD883" w14:textId="77777777" w:rsidR="001E1763" w:rsidRDefault="001E1763">
      <w:pPr>
        <w:rPr>
          <w:rFonts w:eastAsia="Times New Roman"/>
          <w:color w:val="7030A0"/>
          <w:kern w:val="32"/>
          <w:sz w:val="32"/>
          <w:szCs w:val="32"/>
          <w:lang w:val="en-US" w:eastAsia="pt-BR"/>
        </w:rPr>
      </w:pPr>
    </w:p>
    <w:sectPr w:rsidR="001E1763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B78117" w14:textId="77777777" w:rsidR="00E85F7C" w:rsidRDefault="00E85F7C">
      <w:pPr>
        <w:spacing w:line="240" w:lineRule="auto"/>
      </w:pPr>
      <w:r>
        <w:separator/>
      </w:r>
    </w:p>
  </w:endnote>
  <w:endnote w:type="continuationSeparator" w:id="0">
    <w:p w14:paraId="40C789C9" w14:textId="77777777" w:rsidR="00E85F7C" w:rsidRDefault="00E85F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256DA0" w14:textId="77777777" w:rsidR="00E85F7C" w:rsidRDefault="00E85F7C">
      <w:pPr>
        <w:spacing w:after="0"/>
      </w:pPr>
      <w:r>
        <w:separator/>
      </w:r>
    </w:p>
  </w:footnote>
  <w:footnote w:type="continuationSeparator" w:id="0">
    <w:p w14:paraId="07E1B64E" w14:textId="77777777" w:rsidR="00E85F7C" w:rsidRDefault="00E85F7C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CB4F1FE9"/>
    <w:multiLevelType w:val="multilevel"/>
    <w:tmpl w:val="CB4F1FE9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 w15:restartNumberingAfterBreak="0">
    <w:nsid w:val="E6674D2F"/>
    <w:multiLevelType w:val="multilevel"/>
    <w:tmpl w:val="E6674D2F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 w16cid:durableId="1214079424">
    <w:abstractNumId w:val="1"/>
  </w:num>
  <w:num w:numId="2" w16cid:durableId="54007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023AE"/>
    <w:rsid w:val="000E3A94"/>
    <w:rsid w:val="00172A27"/>
    <w:rsid w:val="001A41A5"/>
    <w:rsid w:val="001E1763"/>
    <w:rsid w:val="00267D02"/>
    <w:rsid w:val="0034718B"/>
    <w:rsid w:val="005410C1"/>
    <w:rsid w:val="007E2732"/>
    <w:rsid w:val="009F711F"/>
    <w:rsid w:val="00BB3AAC"/>
    <w:rsid w:val="00CE64F8"/>
    <w:rsid w:val="00DE5EA4"/>
    <w:rsid w:val="00E85F7C"/>
    <w:rsid w:val="00EC7FA9"/>
    <w:rsid w:val="013019FE"/>
    <w:rsid w:val="016650C2"/>
    <w:rsid w:val="020A3A20"/>
    <w:rsid w:val="023F6FEA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4121BB6"/>
    <w:rsid w:val="142E28F1"/>
    <w:rsid w:val="14771888"/>
    <w:rsid w:val="14C61B0F"/>
    <w:rsid w:val="14C831D3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84010BA"/>
    <w:rsid w:val="28FC5E66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E9C09D3"/>
    <w:rsid w:val="2EA3514E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5E360EC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F71CB"/>
    <w:rsid w:val="3B007DF8"/>
    <w:rsid w:val="3CA61B4D"/>
    <w:rsid w:val="3D755A46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517356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D97B55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E86ABD"/>
    <w:rsid w:val="54002206"/>
    <w:rsid w:val="541D21E1"/>
    <w:rsid w:val="54680651"/>
    <w:rsid w:val="548646B3"/>
    <w:rsid w:val="54C5716C"/>
    <w:rsid w:val="55087C20"/>
    <w:rsid w:val="55B301F0"/>
    <w:rsid w:val="5636876C"/>
    <w:rsid w:val="565F4CE9"/>
    <w:rsid w:val="566B4821"/>
    <w:rsid w:val="569F328B"/>
    <w:rsid w:val="58713178"/>
    <w:rsid w:val="587F0C90"/>
    <w:rsid w:val="59606C98"/>
    <w:rsid w:val="596F569D"/>
    <w:rsid w:val="59CA47D2"/>
    <w:rsid w:val="59FB3C80"/>
    <w:rsid w:val="5A2809CD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A33F7E"/>
    <w:rsid w:val="5D665B67"/>
    <w:rsid w:val="5E344D2A"/>
    <w:rsid w:val="5E624EF0"/>
    <w:rsid w:val="5ECC1FD0"/>
    <w:rsid w:val="5FB142F1"/>
    <w:rsid w:val="5FBE93F2"/>
    <w:rsid w:val="606A3B57"/>
    <w:rsid w:val="607B2B09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5A15E33"/>
    <w:rsid w:val="65D61F7D"/>
    <w:rsid w:val="66155809"/>
    <w:rsid w:val="66460CAE"/>
    <w:rsid w:val="66644542"/>
    <w:rsid w:val="66F468A3"/>
    <w:rsid w:val="672B1807"/>
    <w:rsid w:val="677E2FBF"/>
    <w:rsid w:val="67E21C50"/>
    <w:rsid w:val="6939646D"/>
    <w:rsid w:val="693D0281"/>
    <w:rsid w:val="694F0710"/>
    <w:rsid w:val="69A41529"/>
    <w:rsid w:val="6A360934"/>
    <w:rsid w:val="6A7B7C40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F6B5517"/>
    <w:rsid w:val="6F77735D"/>
    <w:rsid w:val="6F99226F"/>
    <w:rsid w:val="70FE3CEC"/>
    <w:rsid w:val="711E5CFE"/>
    <w:rsid w:val="7169030C"/>
    <w:rsid w:val="7179553A"/>
    <w:rsid w:val="721E1944"/>
    <w:rsid w:val="725A162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81C4C68"/>
    <w:rsid w:val="78487758"/>
    <w:rsid w:val="78F27F1C"/>
    <w:rsid w:val="79DD279E"/>
    <w:rsid w:val="7A524143"/>
    <w:rsid w:val="7A7A63D1"/>
    <w:rsid w:val="7AAD455D"/>
    <w:rsid w:val="7B693818"/>
    <w:rsid w:val="7B93632B"/>
    <w:rsid w:val="7BDB1BE6"/>
    <w:rsid w:val="7BF52798"/>
    <w:rsid w:val="7DBB80A2"/>
    <w:rsid w:val="7E324F8E"/>
    <w:rsid w:val="7E5914D0"/>
    <w:rsid w:val="7E7BDAD1"/>
    <w:rsid w:val="7E8A5083"/>
    <w:rsid w:val="7F473105"/>
    <w:rsid w:val="7F7A39DD"/>
    <w:rsid w:val="7F7F9E27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C71B43"/>
  <w15:docId w15:val="{3922D7E3-6F4C-4870-861F-3C0EBA1CB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  <w:style w:type="character" w:customStyle="1" w:styleId="m1">
    <w:name w:val="m1"/>
    <w:autoRedefine/>
    <w:qFormat/>
    <w:rPr>
      <w:color w:val="0000FF"/>
    </w:rPr>
  </w:style>
  <w:style w:type="character" w:customStyle="1" w:styleId="t1">
    <w:name w:val="t1"/>
    <w:autoRedefine/>
    <w:qFormat/>
    <w:rPr>
      <w:color w:val="990000"/>
    </w:rPr>
  </w:style>
  <w:style w:type="character" w:customStyle="1" w:styleId="tx1">
    <w:name w:val="tx1"/>
    <w:autoRedefine/>
    <w:qFormat/>
    <w:rPr>
      <w:b/>
      <w:bCs/>
    </w:rPr>
  </w:style>
  <w:style w:type="character" w:customStyle="1" w:styleId="b1">
    <w:name w:val="b1"/>
    <w:autoRedefine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jira.linx.com.br/browse/LINXERP-19671" TargetMode="External"/><Relationship Id="rId13" Type="http://schemas.openxmlformats.org/officeDocument/2006/relationships/image" Target="media/image4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jira.linx.com.br/browse/LINXERP-18872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99C38F-AF53-49FD-8679-4364B82DFA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154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5</cp:revision>
  <dcterms:created xsi:type="dcterms:W3CDTF">2023-02-25T20:31:00Z</dcterms:created>
  <dcterms:modified xsi:type="dcterms:W3CDTF">2024-09-30T17:56:00Z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1046-12.2.0.18283</vt:lpwstr>
  </property>
  <property fmtid="{D5CDD505-2E9C-101B-9397-08002B2CF9AE}" pid="3" name="ICV">
    <vt:lpwstr>82606FCE2CD3495ABCDD3F3580D55604_13</vt:lpwstr>
  </property>
</Properties>
</file>