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51B33D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  <w:r>
        <w:rPr>
          <w:rFonts w:hint="default" w:ascii="Arial" w:hAnsi="Arial" w:eastAsia="SimSun" w:cs="Arial"/>
          <w:b/>
          <w:bCs/>
          <w:sz w:val="24"/>
          <w:szCs w:val="24"/>
        </w:rPr>
        <w:t>Integração LinxUX x Integrações x LinxERP – Entrada de NF-e XML/JSON</w:t>
      </w:r>
    </w:p>
    <w:p w14:paraId="42352F5B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</w:p>
    <w:p w14:paraId="3C8D2849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  <w:r>
        <w:rPr>
          <w:rFonts w:hint="default" w:ascii="Arial" w:hAnsi="Arial" w:eastAsia="SimSun" w:cs="Arial"/>
          <w:b/>
          <w:bCs/>
          <w:sz w:val="24"/>
          <w:szCs w:val="24"/>
        </w:rPr>
        <w:t>O que é?</w:t>
      </w:r>
    </w:p>
    <w:p w14:paraId="3BF7C30B">
      <w:pPr>
        <w:jc w:val="both"/>
        <w:rPr>
          <w:rFonts w:hint="default" w:ascii="Arial" w:hAnsi="Arial" w:eastAsia="SimSun" w:cs="Arial"/>
          <w:b w:val="0"/>
          <w:bCs w:val="0"/>
          <w:sz w:val="24"/>
          <w:szCs w:val="24"/>
        </w:rPr>
      </w:pPr>
    </w:p>
    <w:p w14:paraId="101046DA">
      <w:pPr>
        <w:jc w:val="both"/>
        <w:rPr>
          <w:rFonts w:hint="default" w:ascii="Arial" w:hAnsi="Arial" w:eastAsia="SimSun" w:cs="Arial"/>
          <w:b w:val="0"/>
          <w:bCs w:val="0"/>
          <w:sz w:val="24"/>
          <w:szCs w:val="24"/>
        </w:rPr>
      </w:pPr>
      <w:r>
        <w:rPr>
          <w:rFonts w:hint="default" w:ascii="Arial" w:hAnsi="Arial" w:eastAsia="SimSun" w:cs="Arial"/>
          <w:b w:val="0"/>
          <w:bCs w:val="0"/>
          <w:sz w:val="24"/>
          <w:szCs w:val="24"/>
        </w:rPr>
        <w:t>Este processo trata da entrada automatizada de Notas Fiscais Eletrônicas (NF-e) recebidas via sistemas como LinxUX, hubs de integração ou parceiros comerciais. As notas são processadas via XML ou JSON e armazenadas no LinxERP para posterior conferência, relacionamento de produtos, geração de financeiro e auditoria.</w:t>
      </w:r>
    </w:p>
    <w:p w14:paraId="528463AD">
      <w:pPr>
        <w:jc w:val="both"/>
        <w:rPr>
          <w:rFonts w:hint="default" w:ascii="Arial" w:hAnsi="Arial" w:eastAsia="SimSun" w:cs="Arial"/>
          <w:b w:val="0"/>
          <w:bCs w:val="0"/>
          <w:sz w:val="24"/>
          <w:szCs w:val="24"/>
        </w:rPr>
      </w:pPr>
      <w:r>
        <w:rPr>
          <w:rFonts w:hint="default" w:ascii="Arial" w:hAnsi="Arial" w:eastAsia="SimSun" w:cs="Arial"/>
          <w:b w:val="0"/>
          <w:bCs w:val="0"/>
          <w:sz w:val="24"/>
          <w:szCs w:val="24"/>
        </w:rPr>
        <w:t>A estrutura centraliza as informações fiscais na tabela REPOSITORIO_NFE_XML, com complementos técnicos em REPOSITORIO_NFE_XML_FATORES e REPOSITORIO_NFE_XML_LOG.</w:t>
      </w:r>
    </w:p>
    <w:p w14:paraId="55FC1CE3">
      <w:pPr>
        <w:jc w:val="both"/>
        <w:rPr>
          <w:rFonts w:hint="default" w:ascii="Arial" w:hAnsi="Arial" w:eastAsia="SimSun" w:cs="Arial"/>
          <w:b w:val="0"/>
          <w:bCs w:val="0"/>
          <w:sz w:val="24"/>
          <w:szCs w:val="24"/>
        </w:rPr>
      </w:pPr>
    </w:p>
    <w:p w14:paraId="77926964">
      <w:pPr>
        <w:jc w:val="both"/>
        <w:rPr>
          <w:rFonts w:hint="default" w:ascii="Arial" w:hAnsi="Arial" w:eastAsia="SimSun" w:cs="Arial"/>
          <w:b w:val="0"/>
          <w:bCs w:val="0"/>
          <w:sz w:val="24"/>
          <w:szCs w:val="24"/>
        </w:rPr>
      </w:pPr>
    </w:p>
    <w:p w14:paraId="717BCF9F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  <w:r>
        <w:rPr>
          <w:rFonts w:hint="default" w:ascii="Arial" w:hAnsi="Arial" w:eastAsia="SimSun" w:cs="Arial"/>
          <w:b/>
          <w:bCs/>
          <w:sz w:val="24"/>
          <w:szCs w:val="24"/>
        </w:rPr>
        <w:t>Telas Relacionadas</w:t>
      </w:r>
    </w:p>
    <w:p w14:paraId="7D31634B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</w:p>
    <w:p w14:paraId="7704AE9A">
      <w:pPr>
        <w:pStyle w:val="8"/>
        <w:keepNext w:val="0"/>
        <w:keepLines w:val="0"/>
        <w:widowControl/>
        <w:numPr>
          <w:numId w:val="0"/>
        </w:numPr>
        <w:suppressLineNumbers w:val="0"/>
        <w:spacing w:before="0" w:beforeAutospacing="1" w:after="0" w:afterAutospacing="1"/>
        <w:ind w:leftChars="0" w:right="0" w:rightChars="0"/>
        <w:rPr>
          <w:rStyle w:val="6"/>
          <w:rFonts w:hint="default" w:ascii="Times New Roman" w:hAnsi="Times New Roman" w:eastAsia="SimSun" w:cs="Times New Roman"/>
          <w:lang w:val="pt-BR"/>
        </w:rPr>
      </w:pPr>
      <w:r>
        <w:rPr>
          <w:rFonts w:ascii="Symbol" w:hAnsi="Symbol" w:eastAsia="Symbol" w:cs="Symbol"/>
          <w:sz w:val="24"/>
        </w:rPr>
        <w:t>·</w:t>
      </w:r>
      <w:r>
        <w:rPr>
          <w:rFonts w:hint="eastAsia" w:ascii="SimSun" w:hAnsi="SimSun" w:eastAsia="SimSun" w:cs="SimSun"/>
          <w:sz w:val="24"/>
        </w:rPr>
        <w:t xml:space="preserve">  </w:t>
      </w:r>
      <w:r>
        <w:rPr>
          <w:rStyle w:val="6"/>
          <w:rFonts w:hint="default" w:ascii="Times New Roman" w:hAnsi="Times New Roman" w:eastAsia="SimSun" w:cs="Times New Roman"/>
          <w:b w:val="0"/>
          <w:bCs w:val="0"/>
          <w:lang w:val="pt-BR"/>
        </w:rPr>
        <w:t>Romaneio para Entrada de Produtos</w:t>
      </w:r>
      <w:r>
        <w:rPr>
          <w:rStyle w:val="6"/>
          <w:rFonts w:hint="default" w:ascii="Times New Roman" w:hAnsi="Times New Roman" w:eastAsia="SimSun" w:cs="Times New Roman"/>
          <w:lang w:val="pt-BR"/>
        </w:rPr>
        <w:t xml:space="preserve"> (LinxUX)</w:t>
      </w:r>
    </w:p>
    <w:p w14:paraId="3DC2EDC9">
      <w:pPr>
        <w:pStyle w:val="8"/>
        <w:keepNext w:val="0"/>
        <w:keepLines w:val="0"/>
        <w:widowControl/>
        <w:numPr>
          <w:numId w:val="0"/>
        </w:numPr>
        <w:suppressLineNumbers w:val="0"/>
        <w:spacing w:before="0" w:beforeAutospacing="1" w:after="0" w:afterAutospacing="1"/>
        <w:ind w:leftChars="0" w:right="0" w:rightChars="0"/>
        <w:rPr>
          <w:rFonts w:hint="default" w:ascii="SimSun" w:hAnsi="SimSun" w:eastAsia="SimSun" w:cs="SimSun"/>
          <w:sz w:val="24"/>
          <w:lang w:val="pt-BR"/>
        </w:rPr>
      </w:pPr>
      <w:r>
        <w:rPr>
          <w:rFonts w:hint="default" w:ascii="Symbol" w:hAnsi="Symbol" w:eastAsia="Symbol" w:cs="Symbol"/>
          <w:sz w:val="24"/>
        </w:rPr>
        <w:t>·</w:t>
      </w:r>
      <w:r>
        <w:rPr>
          <w:rFonts w:hint="eastAsia" w:ascii="SimSun" w:hAnsi="SimSun" w:eastAsia="SimSun" w:cs="SimSun"/>
          <w:sz w:val="24"/>
        </w:rPr>
        <w:t xml:space="preserve">  </w:t>
      </w:r>
      <w:r>
        <w:rPr>
          <w:rStyle w:val="6"/>
          <w:rFonts w:hint="default" w:ascii="Times New Roman" w:hAnsi="Times New Roman" w:eastAsia="SimSun" w:cs="Times New Roman"/>
          <w:b w:val="0"/>
          <w:bCs w:val="0"/>
          <w:lang w:val="pt-BR"/>
        </w:rPr>
        <w:t>Cadastro de Nota Fiscal de Entrada</w:t>
      </w:r>
      <w:r>
        <w:rPr>
          <w:rStyle w:val="6"/>
          <w:rFonts w:hint="default" w:ascii="Times New Roman" w:hAnsi="Times New Roman" w:eastAsia="SimSun" w:cs="Times New Roman"/>
          <w:lang w:val="pt-BR"/>
        </w:rPr>
        <w:t xml:space="preserve"> (LinxUX)</w:t>
      </w:r>
    </w:p>
    <w:p w14:paraId="009B2465">
      <w:pPr>
        <w:pStyle w:val="8"/>
        <w:keepNext w:val="0"/>
        <w:keepLines w:val="0"/>
        <w:widowControl/>
        <w:numPr>
          <w:numId w:val="0"/>
        </w:numPr>
        <w:suppressLineNumbers w:val="0"/>
        <w:spacing w:before="0" w:beforeAutospacing="1" w:after="0" w:afterAutospacing="1"/>
        <w:ind w:leftChars="0" w:right="0" w:rightChars="0"/>
        <w:rPr>
          <w:rFonts w:hint="default"/>
          <w:lang w:val="pt-BR"/>
        </w:rPr>
      </w:pPr>
      <w:r>
        <w:rPr>
          <w:rFonts w:hint="default" w:ascii="Symbol" w:hAnsi="Symbol" w:eastAsia="Symbol" w:cs="Symbol"/>
          <w:sz w:val="24"/>
        </w:rPr>
        <w:t>·</w:t>
      </w:r>
      <w:r>
        <w:rPr>
          <w:rFonts w:hint="eastAsia" w:ascii="SimSun" w:hAnsi="SimSun" w:eastAsia="SimSun" w:cs="SimSun"/>
          <w:sz w:val="24"/>
        </w:rPr>
        <w:t xml:space="preserve">  </w:t>
      </w:r>
      <w:r>
        <w:rPr>
          <w:rStyle w:val="6"/>
          <w:rFonts w:hint="default" w:ascii="Times New Roman" w:hAnsi="Times New Roman" w:eastAsia="SimSun" w:cs="Times New Roman"/>
          <w:lang w:val="pt-BR"/>
        </w:rPr>
        <w:t>005045</w:t>
      </w:r>
      <w:r>
        <w:t xml:space="preserve"> – </w:t>
      </w:r>
      <w:r>
        <w:rPr>
          <w:rFonts w:hint="default"/>
          <w:lang w:val="pt-BR"/>
        </w:rPr>
        <w:t>Entrada de Notas Fiscais por XML</w:t>
      </w:r>
    </w:p>
    <w:p w14:paraId="65611692">
      <w:pPr>
        <w:pStyle w:val="8"/>
        <w:keepNext w:val="0"/>
        <w:keepLines w:val="0"/>
        <w:widowControl/>
        <w:numPr>
          <w:numId w:val="0"/>
        </w:numPr>
        <w:suppressLineNumbers w:val="0"/>
        <w:spacing w:before="0" w:beforeAutospacing="1" w:after="0" w:afterAutospacing="1"/>
        <w:ind w:leftChars="0" w:right="0" w:rightChars="0"/>
        <w:rPr>
          <w:rFonts w:hint="default"/>
          <w:lang w:val="pt-BR"/>
        </w:rPr>
      </w:pPr>
      <w:r>
        <w:rPr>
          <w:rFonts w:hint="default" w:ascii="Symbol" w:hAnsi="Symbol" w:eastAsia="Symbol" w:cs="Symbol"/>
          <w:sz w:val="24"/>
        </w:rPr>
        <w:t>·</w:t>
      </w:r>
      <w:r>
        <w:rPr>
          <w:rFonts w:hint="eastAsia" w:ascii="SimSun" w:hAnsi="SimSun" w:eastAsia="SimSun" w:cs="SimSun"/>
          <w:sz w:val="24"/>
        </w:rPr>
        <w:t xml:space="preserve">  </w:t>
      </w:r>
      <w:r>
        <w:rPr>
          <w:rStyle w:val="6"/>
        </w:rPr>
        <w:t>0</w:t>
      </w:r>
      <w:r>
        <w:rPr>
          <w:rStyle w:val="6"/>
          <w:rFonts w:hint="default"/>
          <w:lang w:val="pt-BR"/>
        </w:rPr>
        <w:t>05112</w:t>
      </w:r>
      <w:r>
        <w:t xml:space="preserve"> – </w:t>
      </w:r>
      <w:r>
        <w:rPr>
          <w:rFonts w:hint="default"/>
          <w:lang w:val="pt-BR"/>
        </w:rPr>
        <w:t>Entrada de Notas Fiscais de Produto Acabado Por Loja</w:t>
      </w:r>
    </w:p>
    <w:p w14:paraId="22BE6C36">
      <w:pPr>
        <w:pStyle w:val="8"/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 w:right="0" w:rightChars="0"/>
        <w:rPr>
          <w:rFonts w:hint="default"/>
          <w:lang w:val="pt-BR"/>
        </w:rPr>
      </w:pPr>
      <w:r>
        <w:rPr>
          <w:rFonts w:hint="default" w:ascii="Symbol" w:hAnsi="Symbol" w:eastAsia="Symbol" w:cs="Symbol"/>
          <w:sz w:val="24"/>
        </w:rPr>
        <w:t>·</w:t>
      </w:r>
      <w:r>
        <w:rPr>
          <w:rFonts w:hint="eastAsia" w:ascii="SimSun" w:hAnsi="SimSun" w:eastAsia="SimSun" w:cs="SimSun"/>
          <w:sz w:val="24"/>
        </w:rPr>
        <w:t xml:space="preserve">  </w:t>
      </w:r>
      <w:r>
        <w:rPr>
          <w:rStyle w:val="6"/>
        </w:rPr>
        <w:t>0</w:t>
      </w:r>
      <w:r>
        <w:rPr>
          <w:rStyle w:val="6"/>
          <w:rFonts w:hint="default"/>
          <w:lang w:val="pt-BR"/>
        </w:rPr>
        <w:t>05109</w:t>
      </w:r>
      <w:r>
        <w:t xml:space="preserve"> – </w:t>
      </w:r>
      <w:r>
        <w:rPr>
          <w:rFonts w:hint="default"/>
          <w:lang w:val="pt-BR"/>
        </w:rPr>
        <w:t>Entrada de Notas Fiscais de Consumíveis</w:t>
      </w:r>
    </w:p>
    <w:p w14:paraId="3922A46D">
      <w:pPr>
        <w:pStyle w:val="8"/>
        <w:keepNext w:val="0"/>
        <w:keepLines w:val="0"/>
        <w:widowControl/>
        <w:numPr>
          <w:numId w:val="0"/>
        </w:numPr>
        <w:suppressLineNumbers w:val="0"/>
        <w:spacing w:before="0" w:beforeAutospacing="1" w:after="0" w:afterAutospacing="1"/>
        <w:ind w:leftChars="0" w:right="0" w:rightChars="0"/>
      </w:pPr>
    </w:p>
    <w:p w14:paraId="24D2118F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  <w:r>
        <w:rPr>
          <w:rFonts w:hint="default" w:ascii="Arial" w:hAnsi="Arial" w:eastAsia="SimSun" w:cs="Arial"/>
          <w:b/>
          <w:bCs/>
          <w:sz w:val="24"/>
          <w:szCs w:val="24"/>
        </w:rPr>
        <w:t>Módulos Envolvidos</w:t>
      </w:r>
    </w:p>
    <w:p w14:paraId="0A8C166F">
      <w:pPr>
        <w:pStyle w:val="8"/>
        <w:keepNext w:val="0"/>
        <w:keepLines w:val="0"/>
        <w:widowControl/>
        <w:suppressLineNumbers w:val="0"/>
        <w:spacing w:before="0" w:beforeAutospacing="1" w:after="0" w:afterAutospacing="1"/>
        <w:ind w:left="0" w:right="0"/>
      </w:pPr>
      <w:r>
        <w:rPr>
          <w:rFonts w:ascii="Symbol" w:hAnsi="Symbol" w:eastAsia="Symbol" w:cs="Symbol"/>
          <w:sz w:val="24"/>
        </w:rPr>
        <w:t>·</w:t>
      </w:r>
      <w:r>
        <w:rPr>
          <w:rFonts w:hint="eastAsia" w:ascii="SimSun" w:hAnsi="SimSun" w:eastAsia="SimSun" w:cs="SimSun"/>
          <w:sz w:val="24"/>
        </w:rPr>
        <w:t xml:space="preserve">  </w:t>
      </w:r>
      <w:r>
        <w:rPr>
          <w:rStyle w:val="6"/>
        </w:rPr>
        <w:t>LinxUX</w:t>
      </w:r>
      <w:r>
        <w:t xml:space="preserve"> (emissor/envio de NF-e)</w:t>
      </w:r>
    </w:p>
    <w:p w14:paraId="58373E3F">
      <w:pPr>
        <w:pStyle w:val="8"/>
        <w:keepNext w:val="0"/>
        <w:keepLines w:val="0"/>
        <w:widowControl/>
        <w:suppressLineNumbers w:val="0"/>
        <w:spacing w:before="0" w:beforeAutospacing="1" w:after="0" w:afterAutospacing="1"/>
        <w:ind w:left="0" w:right="0"/>
      </w:pPr>
      <w:r>
        <w:rPr>
          <w:rFonts w:hint="default" w:ascii="Symbol" w:hAnsi="Symbol" w:eastAsia="Symbol" w:cs="Symbol"/>
          <w:sz w:val="24"/>
        </w:rPr>
        <w:t>·</w:t>
      </w:r>
      <w:r>
        <w:rPr>
          <w:rFonts w:hint="eastAsia" w:ascii="SimSun" w:hAnsi="SimSun" w:eastAsia="SimSun" w:cs="SimSun"/>
          <w:sz w:val="24"/>
        </w:rPr>
        <w:t xml:space="preserve">  </w:t>
      </w:r>
      <w:r>
        <w:rPr>
          <w:rStyle w:val="6"/>
        </w:rPr>
        <w:t>Integrações Middleware</w:t>
      </w:r>
      <w:r>
        <w:t xml:space="preserve"> (validação e roteamento)</w:t>
      </w:r>
    </w:p>
    <w:p w14:paraId="12997FA5">
      <w:pPr>
        <w:pStyle w:val="8"/>
        <w:keepNext w:val="0"/>
        <w:keepLines w:val="0"/>
        <w:widowControl/>
        <w:suppressLineNumbers w:val="0"/>
        <w:spacing w:before="0" w:beforeAutospacing="1" w:after="0" w:afterAutospacing="1"/>
        <w:ind w:left="0" w:right="0"/>
      </w:pPr>
      <w:r>
        <w:rPr>
          <w:rFonts w:hint="default" w:ascii="Symbol" w:hAnsi="Symbol" w:eastAsia="Symbol" w:cs="Symbol"/>
          <w:sz w:val="24"/>
        </w:rPr>
        <w:t>·</w:t>
      </w:r>
      <w:r>
        <w:rPr>
          <w:rFonts w:hint="eastAsia" w:ascii="SimSun" w:hAnsi="SimSun" w:eastAsia="SimSun" w:cs="SimSun"/>
          <w:sz w:val="24"/>
        </w:rPr>
        <w:t xml:space="preserve">  </w:t>
      </w:r>
      <w:r>
        <w:rPr>
          <w:rStyle w:val="6"/>
        </w:rPr>
        <w:t>LinxERP</w:t>
      </w:r>
      <w:r>
        <w:t xml:space="preserve"> (armazenamento e posterior processamento da nota)</w:t>
      </w:r>
    </w:p>
    <w:p w14:paraId="4A1FE2BA">
      <w:pPr>
        <w:pStyle w:val="8"/>
        <w:keepNext w:val="0"/>
        <w:keepLines w:val="0"/>
        <w:widowControl/>
        <w:suppressLineNumbers w:val="0"/>
        <w:spacing w:before="0" w:beforeAutospacing="1" w:after="0" w:afterAutospacing="1"/>
        <w:ind w:left="0" w:right="0"/>
      </w:pPr>
    </w:p>
    <w:p w14:paraId="4ED6A919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  <w:r>
        <w:rPr>
          <w:rFonts w:hint="default" w:ascii="Arial" w:hAnsi="Arial" w:eastAsia="SimSun" w:cs="Arial"/>
          <w:b/>
          <w:bCs/>
          <w:sz w:val="24"/>
          <w:szCs w:val="24"/>
        </w:rPr>
        <w:t>Procedimento do Processo</w:t>
      </w:r>
    </w:p>
    <w:p w14:paraId="7343C32B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</w:p>
    <w:p w14:paraId="32C5CA47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  <w:r>
        <w:rPr>
          <w:rFonts w:hint="default" w:ascii="Arial" w:hAnsi="Arial" w:eastAsia="SimSun" w:cs="Arial"/>
          <w:b/>
          <w:bCs/>
          <w:sz w:val="24"/>
          <w:szCs w:val="24"/>
        </w:rPr>
        <w:t>Recebendo XML/JSON de NF-e no LinxERP</w:t>
      </w:r>
    </w:p>
    <w:p w14:paraId="6A636FCA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</w:p>
    <w:p w14:paraId="4C30ACA4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425" w:leftChars="0" w:right="0" w:hanging="425" w:firstLineChars="0"/>
      </w:pPr>
      <w:r>
        <w:t>O emissor (LinxUX ) envia a NF-e via XML ou JSON.</w:t>
      </w:r>
    </w:p>
    <w:p w14:paraId="1F758094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425" w:leftChars="0" w:right="0" w:hanging="425" w:firstLineChars="0"/>
      </w:pPr>
      <w:r>
        <w:t>A nota é recebida e validada pela camada de Integração.</w:t>
      </w:r>
    </w:p>
    <w:p w14:paraId="609B3430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425" w:leftChars="0" w:right="0" w:hanging="425" w:firstLineChars="0"/>
      </w:pPr>
      <w:r>
        <w:t>O conteúdo é armazenado no LinxERP na tabela REPOSITORIO_NFE_XML.</w:t>
      </w:r>
    </w:p>
    <w:p w14:paraId="183DCFFC">
      <w:pPr>
        <w:pStyle w:val="8"/>
        <w:keepNext w:val="0"/>
        <w:keepLines w:val="0"/>
        <w:widowControl/>
        <w:numPr>
          <w:ilvl w:val="0"/>
          <w:numId w:val="1"/>
        </w:numPr>
        <w:suppressLineNumbers w:val="0"/>
        <w:spacing w:before="0" w:beforeAutospacing="1" w:after="0" w:afterAutospacing="1"/>
        <w:ind w:left="425" w:leftChars="0" w:right="0" w:hanging="425" w:firstLineChars="0"/>
      </w:pPr>
      <w:r>
        <w:t>Informações complementares são armazenadas nas tabelas auxiliares REPOSITORIO_NFE_XML_FATORES (fatores de conversão) e REPOSITORIO_NFE_XML_LOG (log de processamento).</w:t>
      </w:r>
    </w:p>
    <w:p w14:paraId="0E2A8819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  <w:r>
        <w:rPr>
          <w:rFonts w:hint="default" w:ascii="Arial" w:hAnsi="Arial" w:eastAsia="SimSun" w:cs="Arial"/>
          <w:b/>
          <w:bCs/>
          <w:sz w:val="24"/>
          <w:szCs w:val="24"/>
        </w:rPr>
        <w:t>Estrutura da Tabela REPOSITORIO_NFE_XML</w:t>
      </w:r>
    </w:p>
    <w:p w14:paraId="7679BB3E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</w:p>
    <w:tbl>
      <w:tblPr>
        <w:tblW w:w="0" w:type="auto"/>
        <w:tblCellSpacing w:w="1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745"/>
        <w:gridCol w:w="5651"/>
      </w:tblGrid>
      <w:tr w14:paraId="2477A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  <w:tblCellSpacing w:w="15" w:type="dxa"/>
        </w:trPr>
        <w:tc>
          <w:tcPr>
            <w:tcW w:w="0" w:type="auto"/>
            <w:shd w:val="clear"/>
            <w:vAlign w:val="center"/>
          </w:tcPr>
          <w:p w14:paraId="3DBD9951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 w:eastAsia="zh-CN"/>
              </w:rPr>
              <w:t>Campo</w:t>
            </w:r>
          </w:p>
        </w:tc>
        <w:tc>
          <w:tcPr>
            <w:tcW w:w="0" w:type="auto"/>
            <w:shd w:val="clear"/>
            <w:vAlign w:val="center"/>
          </w:tcPr>
          <w:p w14:paraId="24229F51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 w:eastAsia="zh-CN"/>
              </w:rPr>
              <w:t>Descrição</w:t>
            </w:r>
          </w:p>
        </w:tc>
      </w:tr>
      <w:tr w14:paraId="4C603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2E163616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ID_REPOSITORIO</w:t>
            </w:r>
          </w:p>
        </w:tc>
        <w:tc>
          <w:tcPr>
            <w:tcW w:w="0" w:type="auto"/>
            <w:shd w:val="clear"/>
            <w:vAlign w:val="center"/>
          </w:tcPr>
          <w:p w14:paraId="3CC33753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Identificador único da nota no repositório</w:t>
            </w:r>
          </w:p>
        </w:tc>
      </w:tr>
      <w:tr w14:paraId="5B304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4EAA0C8E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CHAVE_NFE</w:t>
            </w:r>
          </w:p>
        </w:tc>
        <w:tc>
          <w:tcPr>
            <w:tcW w:w="0" w:type="auto"/>
            <w:shd w:val="clear"/>
            <w:vAlign w:val="center"/>
          </w:tcPr>
          <w:p w14:paraId="33FB0363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Chave de acesso da NF-e</w:t>
            </w:r>
          </w:p>
        </w:tc>
      </w:tr>
      <w:tr w14:paraId="523F22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00544AF6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CONTEUDO_NFE</w:t>
            </w:r>
          </w:p>
        </w:tc>
        <w:tc>
          <w:tcPr>
            <w:tcW w:w="0" w:type="auto"/>
            <w:shd w:val="clear"/>
            <w:vAlign w:val="center"/>
          </w:tcPr>
          <w:p w14:paraId="2E349A34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Conteúdo XML da NF-e (quando aplicável)</w:t>
            </w:r>
          </w:p>
        </w:tc>
      </w:tr>
      <w:tr w14:paraId="72EAF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53404DC5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NATUREZA_OPERACAO_CODIGO</w:t>
            </w:r>
          </w:p>
        </w:tc>
        <w:tc>
          <w:tcPr>
            <w:tcW w:w="0" w:type="auto"/>
            <w:shd w:val="clear"/>
            <w:vAlign w:val="center"/>
          </w:tcPr>
          <w:p w14:paraId="79D576BB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Código da natureza da operação fiscal</w:t>
            </w:r>
          </w:p>
        </w:tc>
      </w:tr>
      <w:tr w14:paraId="69AC6D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0755FD93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TIPO_ENTRADA_SAIDA</w:t>
            </w:r>
          </w:p>
        </w:tc>
        <w:tc>
          <w:tcPr>
            <w:tcW w:w="0" w:type="auto"/>
            <w:shd w:val="clear"/>
            <w:vAlign w:val="center"/>
          </w:tcPr>
          <w:p w14:paraId="4702724C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Tipo da movimentação: Entrada (E) ou Saída (S)</w:t>
            </w:r>
          </w:p>
        </w:tc>
      </w:tr>
      <w:tr w14:paraId="0E88C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45FAC072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DATA_CARGA</w:t>
            </w:r>
          </w:p>
        </w:tc>
        <w:tc>
          <w:tcPr>
            <w:tcW w:w="0" w:type="auto"/>
            <w:shd w:val="clear"/>
            <w:vAlign w:val="center"/>
          </w:tcPr>
          <w:p w14:paraId="59E8DF8F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Data em que a NF-e foi carregada no repositório</w:t>
            </w:r>
          </w:p>
        </w:tc>
      </w:tr>
      <w:tr w14:paraId="6DEAF3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59355328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NF_ENTRADA</w:t>
            </w:r>
          </w:p>
        </w:tc>
        <w:tc>
          <w:tcPr>
            <w:tcW w:w="0" w:type="auto"/>
            <w:shd w:val="clear"/>
            <w:vAlign w:val="center"/>
          </w:tcPr>
          <w:p w14:paraId="07B2CC7C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Número da NF de entrada</w:t>
            </w:r>
          </w:p>
        </w:tc>
      </w:tr>
      <w:tr w14:paraId="05A281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592D86F3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SERIE_NF_ENTRADA</w:t>
            </w:r>
          </w:p>
        </w:tc>
        <w:tc>
          <w:tcPr>
            <w:tcW w:w="0" w:type="auto"/>
            <w:shd w:val="clear"/>
            <w:vAlign w:val="center"/>
          </w:tcPr>
          <w:p w14:paraId="04BD6B4F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Série da NF de entrada</w:t>
            </w:r>
          </w:p>
        </w:tc>
      </w:tr>
      <w:tr w14:paraId="641CE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19C42A34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NOME_CLIFOR</w:t>
            </w:r>
          </w:p>
        </w:tc>
        <w:tc>
          <w:tcPr>
            <w:tcW w:w="0" w:type="auto"/>
            <w:shd w:val="clear"/>
            <w:vAlign w:val="center"/>
          </w:tcPr>
          <w:p w14:paraId="0BD955E6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Nome do cliente ou fornecedor</w:t>
            </w:r>
          </w:p>
        </w:tc>
      </w:tr>
      <w:tr w14:paraId="424FAC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588361F6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FILIAL</w:t>
            </w:r>
          </w:p>
        </w:tc>
        <w:tc>
          <w:tcPr>
            <w:tcW w:w="0" w:type="auto"/>
            <w:shd w:val="clear"/>
            <w:vAlign w:val="center"/>
          </w:tcPr>
          <w:p w14:paraId="2ED42BBA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Código da filial que está recebendo a NF-e</w:t>
            </w:r>
          </w:p>
        </w:tc>
      </w:tr>
      <w:tr w14:paraId="05E6F7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0E8D07CF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TP_STATUS</w:t>
            </w:r>
          </w:p>
        </w:tc>
        <w:tc>
          <w:tcPr>
            <w:tcW w:w="0" w:type="auto"/>
            <w:shd w:val="clear"/>
            <w:vAlign w:val="center"/>
          </w:tcPr>
          <w:p w14:paraId="3740A577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Status atual do processamento da nota</w:t>
            </w:r>
          </w:p>
        </w:tc>
      </w:tr>
      <w:tr w14:paraId="3FEDC4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6532C8EC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COD_ORIGEM</w:t>
            </w:r>
          </w:p>
        </w:tc>
        <w:tc>
          <w:tcPr>
            <w:tcW w:w="0" w:type="auto"/>
            <w:shd w:val="clear"/>
            <w:vAlign w:val="center"/>
          </w:tcPr>
          <w:p w14:paraId="749F5340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Código da origem (filial/empresa emissora)</w:t>
            </w:r>
          </w:p>
        </w:tc>
      </w:tr>
      <w:tr w14:paraId="37A982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607D32C4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COD_DESTINO</w:t>
            </w:r>
          </w:p>
        </w:tc>
        <w:tc>
          <w:tcPr>
            <w:tcW w:w="0" w:type="auto"/>
            <w:shd w:val="clear"/>
            <w:vAlign w:val="center"/>
          </w:tcPr>
          <w:p w14:paraId="7692A85C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Código do destino (filial/empresa destinatária)</w:t>
            </w:r>
          </w:p>
        </w:tc>
      </w:tr>
      <w:tr w14:paraId="7DF273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01538EC5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COD_EMISSOR</w:t>
            </w:r>
          </w:p>
        </w:tc>
        <w:tc>
          <w:tcPr>
            <w:tcW w:w="0" w:type="auto"/>
            <w:shd w:val="clear"/>
            <w:vAlign w:val="center"/>
          </w:tcPr>
          <w:p w14:paraId="29C7CC15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Código do emissor da nota</w:t>
            </w:r>
          </w:p>
        </w:tc>
      </w:tr>
      <w:tr w14:paraId="014ABA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6DE17813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COD_DESTINATARIO</w:t>
            </w:r>
          </w:p>
        </w:tc>
        <w:tc>
          <w:tcPr>
            <w:tcW w:w="0" w:type="auto"/>
            <w:shd w:val="clear"/>
            <w:vAlign w:val="center"/>
          </w:tcPr>
          <w:p w14:paraId="564A2E09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Código do destinatário da nota</w:t>
            </w:r>
          </w:p>
        </w:tc>
      </w:tr>
      <w:tr w14:paraId="2471A3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79589C48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DATA_ENTRADA_SAIDA</w:t>
            </w:r>
          </w:p>
        </w:tc>
        <w:tc>
          <w:tcPr>
            <w:tcW w:w="0" w:type="auto"/>
            <w:shd w:val="clear"/>
            <w:vAlign w:val="center"/>
          </w:tcPr>
          <w:p w14:paraId="49C6C399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Data de entrada ou saída da mercadoria</w:t>
            </w:r>
          </w:p>
        </w:tc>
      </w:tr>
      <w:tr w14:paraId="07020A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75A37587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TIPO_CONTEUDO</w:t>
            </w:r>
          </w:p>
        </w:tc>
        <w:tc>
          <w:tcPr>
            <w:tcW w:w="0" w:type="auto"/>
            <w:shd w:val="clear"/>
            <w:vAlign w:val="center"/>
          </w:tcPr>
          <w:p w14:paraId="6D84CF81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Tipo do conteúdo: J (JSON) ou X (XML)</w:t>
            </w:r>
          </w:p>
        </w:tc>
      </w:tr>
      <w:tr w14:paraId="64FC5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3A83FD51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CONDICAO_PGTO</w:t>
            </w:r>
          </w:p>
        </w:tc>
        <w:tc>
          <w:tcPr>
            <w:tcW w:w="0" w:type="auto"/>
            <w:shd w:val="clear"/>
            <w:vAlign w:val="center"/>
          </w:tcPr>
          <w:p w14:paraId="4EBD549D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Código da condição de pagamento informada na nota</w:t>
            </w:r>
          </w:p>
        </w:tc>
      </w:tr>
      <w:tr w14:paraId="2D5C03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3705AF28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CONTEUDO_JSON</w:t>
            </w:r>
          </w:p>
        </w:tc>
        <w:tc>
          <w:tcPr>
            <w:tcW w:w="0" w:type="auto"/>
            <w:shd w:val="clear"/>
            <w:vAlign w:val="center"/>
          </w:tcPr>
          <w:p w14:paraId="1AC23371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Estrutura JSON completa da nota, usada para conferência e auditoria</w:t>
            </w:r>
          </w:p>
        </w:tc>
      </w:tr>
      <w:tr w14:paraId="3A93E6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52F95689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INFO_PGTO</w:t>
            </w:r>
          </w:p>
        </w:tc>
        <w:tc>
          <w:tcPr>
            <w:tcW w:w="0" w:type="auto"/>
            <w:shd w:val="clear"/>
            <w:vAlign w:val="center"/>
          </w:tcPr>
          <w:p w14:paraId="3233A417">
            <w:pPr>
              <w:pStyle w:val="8"/>
              <w:keepNext w:val="0"/>
              <w:keepLines w:val="0"/>
              <w:widowControl/>
              <w:numPr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</w:pPr>
            <w:r>
              <w:rPr>
                <w:lang w:val="en-US" w:eastAsia="zh-CN"/>
              </w:rPr>
              <w:t>Informações complementares de pagamento (parcelas, datas, valores)</w:t>
            </w:r>
          </w:p>
        </w:tc>
      </w:tr>
    </w:tbl>
    <w:p w14:paraId="77483616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</w:p>
    <w:p w14:paraId="58FFC1E2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  <w:r>
        <w:rPr>
          <w:rFonts w:hint="default" w:ascii="Arial" w:hAnsi="Arial" w:eastAsia="SimSun" w:cs="Arial"/>
          <w:b/>
          <w:bCs/>
          <w:sz w:val="24"/>
          <w:szCs w:val="24"/>
        </w:rPr>
        <w:t>Estrutura da Tabela REPOSITORIO_NFE_XML_FATORES</w:t>
      </w:r>
    </w:p>
    <w:p w14:paraId="2CAAF873">
      <w:pPr>
        <w:pStyle w:val="8"/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 w:right="0" w:rightChars="0"/>
        <w:rPr>
          <w:lang w:val="en-US" w:eastAsia="zh-CN"/>
        </w:rPr>
      </w:pPr>
      <w:r>
        <w:rPr>
          <w:lang w:val="en-US" w:eastAsia="zh-CN"/>
        </w:rPr>
        <w:t>Esta tabela complementa o relacionamento da nota com os produtos e suas unidades de medida.</w:t>
      </w:r>
    </w:p>
    <w:tbl>
      <w:tblPr>
        <w:tblW w:w="0" w:type="auto"/>
        <w:tblCellSpacing w:w="1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697"/>
        <w:gridCol w:w="4699"/>
      </w:tblGrid>
      <w:tr w14:paraId="44C04B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  <w:tblCellSpacing w:w="15" w:type="dxa"/>
        </w:trPr>
        <w:tc>
          <w:tcPr>
            <w:tcW w:w="0" w:type="auto"/>
            <w:shd w:val="clear"/>
            <w:vAlign w:val="center"/>
          </w:tcPr>
          <w:p w14:paraId="04943032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jc w:val="center"/>
              <w:rPr>
                <w:b/>
                <w:bCs/>
                <w:lang w:val="en-US" w:eastAsia="zh-CN"/>
              </w:rPr>
            </w:pPr>
            <w:r>
              <w:rPr>
                <w:b/>
                <w:bCs/>
                <w:lang w:val="en-US" w:eastAsia="zh-CN"/>
              </w:rPr>
              <w:t>Campo</w:t>
            </w:r>
          </w:p>
        </w:tc>
        <w:tc>
          <w:tcPr>
            <w:tcW w:w="0" w:type="auto"/>
            <w:shd w:val="clear"/>
            <w:vAlign w:val="center"/>
          </w:tcPr>
          <w:p w14:paraId="09747677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jc w:val="center"/>
              <w:rPr>
                <w:b/>
                <w:bCs/>
                <w:lang w:val="en-US" w:eastAsia="zh-CN"/>
              </w:rPr>
            </w:pPr>
            <w:r>
              <w:rPr>
                <w:b/>
                <w:bCs/>
                <w:lang w:val="en-US" w:eastAsia="zh-CN"/>
              </w:rPr>
              <w:t>Descrição</w:t>
            </w:r>
          </w:p>
        </w:tc>
      </w:tr>
      <w:tr w14:paraId="2A240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60AD4574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ID_REPOSITORIO_NFE_XML_FATORES</w:t>
            </w:r>
          </w:p>
        </w:tc>
        <w:tc>
          <w:tcPr>
            <w:tcW w:w="0" w:type="auto"/>
            <w:shd w:val="clear"/>
            <w:vAlign w:val="center"/>
          </w:tcPr>
          <w:p w14:paraId="2F4B64BB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Identificador único da entrada</w:t>
            </w:r>
          </w:p>
        </w:tc>
      </w:tr>
      <w:tr w14:paraId="2D2511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4C832D1F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ID_REPOSITORIO</w:t>
            </w:r>
          </w:p>
        </w:tc>
        <w:tc>
          <w:tcPr>
            <w:tcW w:w="0" w:type="auto"/>
            <w:shd w:val="clear"/>
            <w:vAlign w:val="center"/>
          </w:tcPr>
          <w:p w14:paraId="2009353A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Chave estrangeira vinculada à REPOSITORIO_NFE_XML</w:t>
            </w:r>
          </w:p>
        </w:tc>
      </w:tr>
      <w:tr w14:paraId="33C68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6E1FB388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CODIGO_BARRA</w:t>
            </w:r>
          </w:p>
        </w:tc>
        <w:tc>
          <w:tcPr>
            <w:tcW w:w="0" w:type="auto"/>
            <w:shd w:val="clear"/>
            <w:vAlign w:val="center"/>
          </w:tcPr>
          <w:p w14:paraId="2FDF1F4D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Código de barras informado na nota</w:t>
            </w:r>
          </w:p>
        </w:tc>
      </w:tr>
      <w:tr w14:paraId="2B938C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59423F41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CODIGO_ITEM_FORNECEDOR</w:t>
            </w:r>
          </w:p>
        </w:tc>
        <w:tc>
          <w:tcPr>
            <w:tcW w:w="0" w:type="auto"/>
            <w:shd w:val="clear"/>
            <w:vAlign w:val="center"/>
          </w:tcPr>
          <w:p w14:paraId="7C01D4B7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Código do item conforme o fornecedor</w:t>
            </w:r>
          </w:p>
        </w:tc>
      </w:tr>
      <w:tr w14:paraId="762CF3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6A37A6D6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FATOR_CONVERSAO_UNIDADE_TRIBUTARIA</w:t>
            </w:r>
          </w:p>
        </w:tc>
        <w:tc>
          <w:tcPr>
            <w:tcW w:w="0" w:type="auto"/>
            <w:shd w:val="clear"/>
            <w:vAlign w:val="center"/>
          </w:tcPr>
          <w:p w14:paraId="455A65DF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Fator de conversão entre unidade comercial e unidade tributável</w:t>
            </w:r>
          </w:p>
        </w:tc>
      </w:tr>
      <w:tr w14:paraId="529010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1F35FA58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UNIDADE</w:t>
            </w:r>
          </w:p>
        </w:tc>
        <w:tc>
          <w:tcPr>
            <w:tcW w:w="0" w:type="auto"/>
            <w:shd w:val="clear"/>
            <w:vAlign w:val="center"/>
          </w:tcPr>
          <w:p w14:paraId="075DE5BD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Unidade de medida utilizada (ex: PC, CX, KG)</w:t>
            </w:r>
          </w:p>
        </w:tc>
      </w:tr>
    </w:tbl>
    <w:p w14:paraId="2492E0FA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</w:p>
    <w:p w14:paraId="63D775B5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  <w:r>
        <w:rPr>
          <w:rFonts w:hint="default" w:ascii="Arial" w:hAnsi="Arial" w:eastAsia="SimSun" w:cs="Arial"/>
          <w:b/>
          <w:bCs/>
          <w:sz w:val="24"/>
          <w:szCs w:val="24"/>
        </w:rPr>
        <w:t>Estrutura da Tabela REPOSITORIO_NFE_XML_LOG</w:t>
      </w:r>
    </w:p>
    <w:p w14:paraId="3940D572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</w:p>
    <w:p w14:paraId="61348AC6">
      <w:pPr>
        <w:pStyle w:val="8"/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 w:right="0" w:rightChars="0"/>
        <w:rPr>
          <w:lang w:val="en-US" w:eastAsia="zh-CN"/>
        </w:rPr>
      </w:pPr>
      <w:r>
        <w:rPr>
          <w:lang w:val="en-US" w:eastAsia="zh-CN"/>
        </w:rPr>
        <w:t>Registra todos os eventos e alterações que ocorrem durante o processamento de uma nota fiscal.</w:t>
      </w:r>
    </w:p>
    <w:tbl>
      <w:tblPr>
        <w:tblW w:w="0" w:type="auto"/>
        <w:tblCellSpacing w:w="1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54"/>
        <w:gridCol w:w="5714"/>
      </w:tblGrid>
      <w:tr w14:paraId="7D4DA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  <w:tblCellSpacing w:w="15" w:type="dxa"/>
        </w:trPr>
        <w:tc>
          <w:tcPr>
            <w:tcW w:w="0" w:type="auto"/>
            <w:shd w:val="clear"/>
            <w:vAlign w:val="center"/>
          </w:tcPr>
          <w:p w14:paraId="06CB450F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jc w:val="center"/>
              <w:rPr>
                <w:b/>
                <w:bCs/>
                <w:lang w:val="en-US" w:eastAsia="zh-CN"/>
              </w:rPr>
            </w:pPr>
            <w:r>
              <w:rPr>
                <w:b/>
                <w:bCs/>
                <w:lang w:val="en-US" w:eastAsia="zh-CN"/>
              </w:rPr>
              <w:t>Campo</w:t>
            </w:r>
          </w:p>
        </w:tc>
        <w:tc>
          <w:tcPr>
            <w:tcW w:w="0" w:type="auto"/>
            <w:shd w:val="clear"/>
            <w:vAlign w:val="center"/>
          </w:tcPr>
          <w:p w14:paraId="21BCF534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jc w:val="center"/>
              <w:rPr>
                <w:b/>
                <w:bCs/>
                <w:lang w:val="en-US" w:eastAsia="zh-CN"/>
              </w:rPr>
            </w:pPr>
            <w:r>
              <w:rPr>
                <w:b/>
                <w:bCs/>
                <w:lang w:val="en-US" w:eastAsia="zh-CN"/>
              </w:rPr>
              <w:t>Descrição</w:t>
            </w:r>
          </w:p>
        </w:tc>
      </w:tr>
      <w:tr w14:paraId="65A702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3901A3A3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ID_REPOSITORIO</w:t>
            </w:r>
          </w:p>
        </w:tc>
        <w:tc>
          <w:tcPr>
            <w:tcW w:w="0" w:type="auto"/>
            <w:shd w:val="clear"/>
            <w:vAlign w:val="center"/>
          </w:tcPr>
          <w:p w14:paraId="6FEB71D6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Chave da nota fiscal vinculada</w:t>
            </w:r>
          </w:p>
        </w:tc>
      </w:tr>
      <w:tr w14:paraId="3137ED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2454C4C1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ID_LOG</w:t>
            </w:r>
          </w:p>
        </w:tc>
        <w:tc>
          <w:tcPr>
            <w:tcW w:w="0" w:type="auto"/>
            <w:shd w:val="clear"/>
            <w:vAlign w:val="center"/>
          </w:tcPr>
          <w:p w14:paraId="612C275F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Identificador do log</w:t>
            </w:r>
          </w:p>
        </w:tc>
      </w:tr>
      <w:tr w14:paraId="691E6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41E626D5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TP_STATUS_LOG</w:t>
            </w:r>
          </w:p>
        </w:tc>
        <w:tc>
          <w:tcPr>
            <w:tcW w:w="0" w:type="auto"/>
            <w:shd w:val="clear"/>
            <w:vAlign w:val="center"/>
          </w:tcPr>
          <w:p w14:paraId="032D1BEF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Tipo de status registrado (sucesso, erro, validando, etc.)</w:t>
            </w:r>
          </w:p>
        </w:tc>
      </w:tr>
      <w:tr w14:paraId="5A8E37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40D57C97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DATA_LOG</w:t>
            </w:r>
          </w:p>
        </w:tc>
        <w:tc>
          <w:tcPr>
            <w:tcW w:w="0" w:type="auto"/>
            <w:shd w:val="clear"/>
            <w:vAlign w:val="center"/>
          </w:tcPr>
          <w:p w14:paraId="2D2F758D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Data e hora do log</w:t>
            </w:r>
          </w:p>
        </w:tc>
      </w:tr>
      <w:tr w14:paraId="03106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7781D8AF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MSG_LOG</w:t>
            </w:r>
          </w:p>
        </w:tc>
        <w:tc>
          <w:tcPr>
            <w:tcW w:w="0" w:type="auto"/>
            <w:shd w:val="clear"/>
            <w:vAlign w:val="center"/>
          </w:tcPr>
          <w:p w14:paraId="2A6C0539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Mensagem técnica do log (ex: “Erro na chave NFE”, “Processado OK”)</w:t>
            </w:r>
          </w:p>
        </w:tc>
      </w:tr>
      <w:tr w14:paraId="274D03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0F8FB8B4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SYS_USER</w:t>
            </w:r>
          </w:p>
        </w:tc>
        <w:tc>
          <w:tcPr>
            <w:tcW w:w="0" w:type="auto"/>
            <w:shd w:val="clear"/>
            <w:vAlign w:val="center"/>
          </w:tcPr>
          <w:p w14:paraId="21FEA1E5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Nome do usuário (ou sistema) que gerou o log</w:t>
            </w:r>
          </w:p>
        </w:tc>
      </w:tr>
      <w:tr w14:paraId="49B192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CellSpacing w:w="15" w:type="dxa"/>
        </w:trPr>
        <w:tc>
          <w:tcPr>
            <w:tcW w:w="0" w:type="auto"/>
            <w:shd w:val="clear"/>
            <w:vAlign w:val="center"/>
          </w:tcPr>
          <w:p w14:paraId="3969B11D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HOST_NAME</w:t>
            </w:r>
          </w:p>
        </w:tc>
        <w:tc>
          <w:tcPr>
            <w:tcW w:w="0" w:type="auto"/>
            <w:shd w:val="clear"/>
            <w:vAlign w:val="center"/>
          </w:tcPr>
          <w:p w14:paraId="1218A697">
            <w:pPr>
              <w:pStyle w:val="8"/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spacing w:before="0" w:beforeAutospacing="1" w:after="0" w:afterAutospacing="1"/>
              <w:ind w:leftChars="0" w:right="0" w:rightChars="0"/>
              <w:rPr>
                <w:lang w:val="en-US" w:eastAsia="zh-CN"/>
              </w:rPr>
            </w:pPr>
            <w:r>
              <w:rPr>
                <w:lang w:val="en-US" w:eastAsia="zh-CN"/>
              </w:rPr>
              <w:t>Host de origem do log</w:t>
            </w:r>
          </w:p>
        </w:tc>
      </w:tr>
    </w:tbl>
    <w:p w14:paraId="17E31804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</w:p>
    <w:p w14:paraId="627339BD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  <w:r>
        <w:rPr>
          <w:rFonts w:hint="default" w:ascii="Arial" w:hAnsi="Arial" w:eastAsia="SimSun" w:cs="Arial"/>
          <w:b/>
          <w:bCs/>
          <w:sz w:val="24"/>
          <w:szCs w:val="24"/>
        </w:rPr>
        <w:t>Exemplo Prático de Uso</w:t>
      </w:r>
    </w:p>
    <w:p w14:paraId="47436576">
      <w:pPr>
        <w:pStyle w:val="8"/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 w:right="0" w:rightChars="0"/>
        <w:jc w:val="both"/>
        <w:rPr>
          <w:rFonts w:hint="default"/>
          <w:lang w:val="pt-BR" w:eastAsia="zh-CN"/>
        </w:rPr>
      </w:pPr>
      <w:r>
        <w:rPr>
          <w:lang w:val="en-US" w:eastAsia="zh-CN"/>
        </w:rPr>
        <w:t>O sistema do fornecedor envia uma NF-e com código de barras e fator de conversã</w:t>
      </w:r>
      <w:r>
        <w:rPr>
          <w:rFonts w:hint="default"/>
          <w:lang w:val="pt-BR" w:eastAsia="zh-CN"/>
        </w:rPr>
        <w:t>o ou uma simples nota fiscal de entrada sem conversão e é iniciada via LinxUX, para consumíveis a nota fiscal irá entrar como JSON para os demais casos ela entra como XML.</w:t>
      </w:r>
    </w:p>
    <w:p w14:paraId="203CBC74">
      <w:pPr>
        <w:pStyle w:val="8"/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 w:right="0" w:rightChars="0"/>
        <w:jc w:val="both"/>
        <w:rPr>
          <w:lang w:val="en-US" w:eastAsia="zh-CN"/>
        </w:rPr>
      </w:pPr>
      <w:r>
        <w:rPr>
          <w:lang w:val="en-US" w:eastAsia="zh-CN"/>
        </w:rPr>
        <w:br w:type="textWrapping"/>
      </w:r>
      <w:r>
        <w:rPr>
          <w:lang w:val="en-US" w:eastAsia="zh-CN"/>
        </w:rPr>
        <w:t>O middleware da Linx recebe esse conteúdo, o transforma em JSON</w:t>
      </w:r>
      <w:r>
        <w:rPr>
          <w:rFonts w:hint="default"/>
          <w:lang w:val="pt-BR" w:eastAsia="zh-CN"/>
        </w:rPr>
        <w:t xml:space="preserve"> ou XML</w:t>
      </w:r>
      <w:r>
        <w:rPr>
          <w:lang w:val="en-US" w:eastAsia="zh-CN"/>
        </w:rPr>
        <w:t>, e o armazena nas tabelas REPOSITORIO_NFE_XML e REPOSITORIO_NFE_XML_FATORES</w:t>
      </w:r>
      <w:r>
        <w:rPr>
          <w:rFonts w:hint="default"/>
          <w:lang w:val="pt-BR" w:eastAsia="zh-CN"/>
        </w:rPr>
        <w:t xml:space="preserve"> (Caso a Nota Fiscal tenha conversão)</w:t>
      </w:r>
      <w:r>
        <w:rPr>
          <w:lang w:val="en-US" w:eastAsia="zh-CN"/>
        </w:rPr>
        <w:t>.</w:t>
      </w:r>
    </w:p>
    <w:p w14:paraId="02CF8A80">
      <w:pPr>
        <w:pStyle w:val="8"/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 w:right="0" w:rightChars="0"/>
        <w:jc w:val="both"/>
        <w:rPr>
          <w:lang w:val="en-US" w:eastAsia="zh-CN"/>
        </w:rPr>
      </w:pPr>
      <w:r>
        <w:rPr>
          <w:lang w:val="en-US" w:eastAsia="zh-CN"/>
        </w:rPr>
        <w:br w:type="textWrapping"/>
      </w:r>
      <w:r>
        <w:rPr>
          <w:lang w:val="en-US" w:eastAsia="zh-CN"/>
        </w:rPr>
        <w:t>Em caso de erro, um log técnico é gerado em REPOSITORIO_NFE_XML_LOG.</w:t>
      </w:r>
    </w:p>
    <w:p w14:paraId="0777A65C">
      <w:pPr>
        <w:pStyle w:val="8"/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 w:right="0" w:rightChars="0"/>
        <w:jc w:val="both"/>
        <w:rPr>
          <w:rFonts w:hint="default"/>
          <w:lang w:val="pt-BR"/>
        </w:rPr>
      </w:pPr>
      <w:r>
        <w:rPr>
          <w:lang w:val="en-US" w:eastAsia="zh-CN"/>
        </w:rPr>
        <w:br w:type="textWrapping"/>
      </w:r>
      <w:r>
        <w:rPr>
          <w:lang w:val="en-US" w:eastAsia="zh-CN"/>
        </w:rPr>
        <w:t>Após armazenado, o ERP consegue processar, conferir e lançar o financeiro conforme os dados recebidos, sem intervenção manual</w:t>
      </w:r>
      <w:r>
        <w:rPr>
          <w:rFonts w:hint="default"/>
          <w:lang w:val="pt-BR" w:eastAsia="zh-CN"/>
        </w:rPr>
        <w:t xml:space="preserve">, todo processamento pode ser validado na tela 005045 - </w:t>
      </w:r>
      <w:r>
        <w:rPr>
          <w:rFonts w:hint="default"/>
          <w:lang w:val="pt-BR"/>
        </w:rPr>
        <w:t>Entrada de Notas Fiscais por XML</w:t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br w:type="textWrapping"/>
      </w:r>
      <w:r>
        <w:rPr>
          <w:rFonts w:hint="default"/>
          <w:lang w:val="pt-BR"/>
        </w:rPr>
        <w:t>OBS: O XML das notas ainda não são possíveis serem verificadas na tela 005045 - Entrada de Notas Fiscais por XML e também o JSON isso será desenvolvido no futuro pelo time do LinxERP.</w:t>
      </w:r>
    </w:p>
    <w:p w14:paraId="1AC5DE5D">
      <w:pPr>
        <w:pStyle w:val="8"/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1" w:after="0" w:afterAutospacing="1"/>
        <w:ind w:leftChars="0" w:right="0" w:rightChars="0"/>
        <w:jc w:val="both"/>
        <w:rPr>
          <w:rFonts w:hint="default"/>
          <w:lang w:val="pt-BR"/>
        </w:rPr>
      </w:pPr>
      <w:r>
        <w:rPr>
          <w:rFonts w:hint="default"/>
          <w:lang w:val="pt-BR"/>
        </w:rPr>
        <w:t>Outro ponto importante é que a integração dos cadastros sempre nascem no LinxERP.</w:t>
      </w:r>
    </w:p>
    <w:p w14:paraId="19E5B25A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  <w:r>
        <w:rPr>
          <w:rFonts w:hint="default" w:ascii="Arial" w:hAnsi="Arial" w:eastAsia="SimSun" w:cs="Arial"/>
          <w:b/>
          <w:bCs/>
          <w:sz w:val="24"/>
          <w:szCs w:val="24"/>
        </w:rPr>
        <w:t>Observações</w:t>
      </w:r>
    </w:p>
    <w:p w14:paraId="668473AB">
      <w:pPr>
        <w:jc w:val="both"/>
        <w:rPr>
          <w:rFonts w:hint="default" w:ascii="Arial" w:hAnsi="Arial" w:eastAsia="SimSun" w:cs="Arial"/>
          <w:b/>
          <w:bCs/>
          <w:sz w:val="24"/>
          <w:szCs w:val="24"/>
        </w:rPr>
      </w:pPr>
    </w:p>
    <w:p w14:paraId="76DA20FE">
      <w:pPr>
        <w:pStyle w:val="8"/>
        <w:keepNext w:val="0"/>
        <w:keepLines w:val="0"/>
        <w:widowControl/>
        <w:suppressLineNumbers w:val="0"/>
        <w:spacing w:before="0" w:beforeAutospacing="1" w:after="0" w:afterAutospacing="1"/>
        <w:ind w:left="0" w:right="0"/>
      </w:pPr>
      <w:r>
        <w:rPr>
          <w:rFonts w:ascii="Symbol" w:hAnsi="Symbol" w:eastAsia="Symbol" w:cs="Symbol"/>
          <w:sz w:val="24"/>
        </w:rPr>
        <w:t>·</w:t>
      </w:r>
      <w:r>
        <w:rPr>
          <w:rFonts w:hint="eastAsia" w:ascii="SimSun" w:hAnsi="SimSun" w:eastAsia="SimSun" w:cs="SimSun"/>
          <w:sz w:val="24"/>
        </w:rPr>
        <w:t xml:space="preserve">  </w:t>
      </w:r>
      <w:r>
        <w:t xml:space="preserve">Todas as notas processadas podem ser auditadas diretamente via </w:t>
      </w:r>
      <w:r>
        <w:rPr>
          <w:rStyle w:val="7"/>
        </w:rPr>
        <w:t>REPOSITORIO_NFE_XML</w:t>
      </w:r>
      <w:r>
        <w:t>.</w:t>
      </w:r>
    </w:p>
    <w:p w14:paraId="3CB4ED7F">
      <w:pPr>
        <w:pStyle w:val="8"/>
        <w:keepNext w:val="0"/>
        <w:keepLines w:val="0"/>
        <w:widowControl/>
        <w:suppressLineNumbers w:val="0"/>
        <w:spacing w:before="0" w:beforeAutospacing="1" w:after="0" w:afterAutospacing="1"/>
        <w:ind w:left="0" w:right="0"/>
      </w:pPr>
      <w:r>
        <w:rPr>
          <w:rFonts w:hint="default" w:ascii="Symbol" w:hAnsi="Symbol" w:eastAsia="Symbol" w:cs="Symbol"/>
          <w:sz w:val="24"/>
        </w:rPr>
        <w:t>·</w:t>
      </w:r>
      <w:r>
        <w:rPr>
          <w:rFonts w:hint="eastAsia" w:ascii="SimSun" w:hAnsi="SimSun" w:eastAsia="SimSun" w:cs="SimSun"/>
          <w:sz w:val="24"/>
        </w:rPr>
        <w:t xml:space="preserve">  </w:t>
      </w:r>
      <w:r>
        <w:t xml:space="preserve">O relacionamento com produtos pode ser validado por meio da tabela </w:t>
      </w:r>
      <w:r>
        <w:rPr>
          <w:rStyle w:val="7"/>
        </w:rPr>
        <w:t>PRODUTOS_REF_FORNECEDOR</w:t>
      </w:r>
      <w:r>
        <w:t>.</w:t>
      </w:r>
    </w:p>
    <w:p w14:paraId="1EC48A89">
      <w:pPr>
        <w:pStyle w:val="8"/>
        <w:keepNext w:val="0"/>
        <w:keepLines w:val="0"/>
        <w:widowControl/>
        <w:suppressLineNumbers w:val="0"/>
        <w:spacing w:before="0" w:beforeAutospacing="1" w:after="0" w:afterAutospacing="1"/>
        <w:ind w:left="0" w:right="0"/>
      </w:pPr>
      <w:r>
        <w:rPr>
          <w:rFonts w:hint="default" w:ascii="Symbol" w:hAnsi="Symbol" w:eastAsia="Symbol" w:cs="Symbol"/>
          <w:sz w:val="24"/>
        </w:rPr>
        <w:t>·</w:t>
      </w:r>
      <w:r>
        <w:rPr>
          <w:rFonts w:hint="eastAsia" w:ascii="SimSun" w:hAnsi="SimSun" w:eastAsia="SimSun" w:cs="SimSun"/>
          <w:sz w:val="24"/>
        </w:rPr>
        <w:t xml:space="preserve">  </w:t>
      </w:r>
      <w:r>
        <w:t>O conteúdo JSON segue um layout padronizado e versionado, de uso exclusivo interno Linx.</w:t>
      </w:r>
    </w:p>
    <w:p w14:paraId="02DCF4A9">
      <w:pPr>
        <w:jc w:val="both"/>
        <w:rPr>
          <w:rFonts w:hint="default" w:ascii="Arial" w:hAnsi="Arial" w:eastAsia="SimSun" w:cs="Arial"/>
          <w:b/>
          <w:bCs/>
          <w:sz w:val="24"/>
          <w:szCs w:val="24"/>
          <w:lang w:val="pt-BR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Script">
    <w:panose1 w:val="030B0504020000000003"/>
    <w:charset w:val="00"/>
    <w:family w:val="auto"/>
    <w:pitch w:val="default"/>
    <w:sig w:usb0="0000028F" w:usb1="00000000" w:usb2="00000000" w:usb3="00000000" w:csb0="0000009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Bahnschrift SemiBold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60E0295"/>
    <w:multiLevelType w:val="singleLevel"/>
    <w:tmpl w:val="B60E0295"/>
    <w:lvl w:ilvl="0" w:tentative="0">
      <w:start w:val="1"/>
      <w:numFmt w:val="decimal"/>
      <w:lvlText w:val="%1.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601F45"/>
    <w:rsid w:val="21601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paragraph" w:styleId="2">
    <w:name w:val="heading 2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3">
    <w:name w:val="heading 3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4"/>
    <w:qFormat/>
    <w:uiPriority w:val="0"/>
    <w:rPr>
      <w:b/>
      <w:bCs/>
    </w:rPr>
  </w:style>
  <w:style w:type="character" w:styleId="7">
    <w:name w:val="HTML Code"/>
    <w:basedOn w:val="4"/>
    <w:uiPriority w:val="0"/>
    <w:rPr>
      <w:rFonts w:ascii="Courier New" w:hAnsi="Courier New" w:cs="Courier New"/>
      <w:sz w:val="20"/>
      <w:szCs w:val="20"/>
    </w:rPr>
  </w:style>
  <w:style w:type="paragraph" w:styleId="8">
    <w:name w:val="Normal (Web)"/>
    <w:basedOn w:val="1"/>
    <w:uiPriority w:val="0"/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30</TotalTime>
  <ScaleCrop>false</ScaleCrop>
  <LinksUpToDate>false</LinksUpToDate>
  <CharactersWithSpaces>0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2025-05-09T18:37:00Z</dcterms:created>
  <dc:creator>alexandre.claudino</dc:creator>
  <cp:lastModifiedBy>alexandre.claudino</cp:lastModifiedBy>
  <dcterms:modified xsi:type="dcterms:W3CDTF">2025-05-09T19:08:37Z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1046-12.2.0.20795</vt:lpwstr>
  </property>
  <property fmtid="{D5CDD505-2E9C-101B-9397-08002B2CF9AE}" pid="3" name="ICV">
    <vt:lpwstr>BE12E21E0D784CA18A76240AE2CE23BF_11</vt:lpwstr>
  </property>
</Properties>
</file>