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D07C0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 - Melhoria na Sincronização de NF-e entre POS e Retaguarda</w:t>
      </w:r>
    </w:p>
    <w:tbl>
      <w:tblPr>
        <w:tblW w:w="2786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4"/>
        <w:gridCol w:w="1803"/>
        <w:gridCol w:w="1110"/>
        <w:gridCol w:w="1217"/>
        <w:gridCol w:w="911"/>
      </w:tblGrid>
      <w:tr w:rsidR="00000000" w14:paraId="45B2B4B3" w14:textId="77777777">
        <w:trPr>
          <w:divId w:val="36602764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2F0DAC" w14:textId="77777777" w:rsidR="00000000" w:rsidRDefault="00000000">
            <w:pPr>
              <w:pStyle w:val="NormalWeb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2C2673" w14:textId="77777777" w:rsidR="00000000" w:rsidRDefault="00000000">
            <w:pPr>
              <w:pStyle w:val="NormalWeb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História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CBDA23" w14:textId="77777777" w:rsidR="00000000" w:rsidRDefault="00000000">
            <w:pPr>
              <w:pStyle w:val="NormalWeb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7C3F76" w14:textId="77777777" w:rsidR="00000000" w:rsidRDefault="00000000">
            <w:pPr>
              <w:pStyle w:val="NormalWeb"/>
              <w:jc w:val="center"/>
            </w:pPr>
            <w:r>
              <w:rPr>
                <w:rStyle w:val="Forte"/>
              </w:rP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9B8E67" w14:textId="77777777" w:rsidR="00000000" w:rsidRDefault="00000000">
            <w:pPr>
              <w:pStyle w:val="NormalWeb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Id testlink</w:t>
            </w:r>
          </w:p>
        </w:tc>
      </w:tr>
      <w:tr w:rsidR="00000000" w14:paraId="735B06DD" w14:textId="77777777">
        <w:trPr>
          <w:divId w:val="36602764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CB021A" w14:textId="77777777" w:rsidR="00000000" w:rsidRDefault="00000000">
            <w:pPr>
              <w:pStyle w:val="NormalWeb"/>
              <w:jc w:val="center"/>
            </w:pPr>
            <w:r>
              <w:t>Linx ERP FFCA - S#24-12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1C9FCC" w14:textId="77777777" w:rsidR="00000000" w:rsidRDefault="00000000">
            <w:pPr>
              <w:pStyle w:val="NormalWeb"/>
              <w:jc w:val="center"/>
            </w:pPr>
            <w:hyperlink r:id="rId5" w:history="1">
              <w:r>
                <w:rPr>
                  <w:rStyle w:val="Hyperlink"/>
                </w:rPr>
                <w:t>LINXERP-21140</w:t>
              </w:r>
            </w:hyperlink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2B34CB" w14:textId="77777777" w:rsidR="00000000" w:rsidRDefault="00000000">
            <w:pPr>
              <w:pStyle w:val="NormalWeb"/>
              <w:jc w:val="center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9527DE" w14:textId="77777777" w:rsidR="00000000" w:rsidRDefault="00000000">
            <w:pPr>
              <w:pStyle w:val="NormalWeb"/>
              <w:jc w:val="center"/>
            </w:pPr>
            <w:r>
              <w:t>8.01.0007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C271424" w14:textId="77777777" w:rsidR="00000000" w:rsidRDefault="00000000">
            <w:pPr>
              <w:pStyle w:val="NormalWeb"/>
              <w:jc w:val="center"/>
            </w:pPr>
            <w:r>
              <w:t>SHOP-VL-8513 / SHOP-VL-8514</w:t>
            </w:r>
          </w:p>
          <w:p w14:paraId="523C6E29" w14:textId="77777777" w:rsidR="00000000" w:rsidRDefault="00000000">
            <w:pPr>
              <w:pStyle w:val="NormalWeb"/>
              <w:jc w:val="center"/>
            </w:pPr>
            <w:r>
              <w:t>SHOP-VL-8515 / SHOP-VL-8516</w:t>
            </w:r>
          </w:p>
        </w:tc>
      </w:tr>
      <w:tr w:rsidR="00000000" w14:paraId="25D753FC" w14:textId="77777777">
        <w:trPr>
          <w:divId w:val="36602764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62342AD" w14:textId="77777777" w:rsidR="00000000" w:rsidRDefault="00000000">
            <w:pPr>
              <w:pStyle w:val="NormalWeb"/>
              <w:jc w:val="center"/>
            </w:pPr>
            <w:r>
              <w:rPr>
                <w:rStyle w:val="Forte"/>
              </w:rPr>
              <w:t>Banco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C19A07" w14:textId="77777777" w:rsidR="00000000" w:rsidRDefault="00000000">
            <w:pPr>
              <w:pStyle w:val="NormalWeb"/>
              <w:jc w:val="center"/>
            </w:pPr>
            <w:r>
              <w:rPr>
                <w:rStyle w:val="Forte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B3EB457" w14:textId="77777777" w:rsidR="00000000" w:rsidRDefault="00000000">
            <w:pPr>
              <w:pStyle w:val="NormalWeb"/>
              <w:jc w:val="center"/>
            </w:pPr>
            <w:r>
              <w:rPr>
                <w:rStyle w:val="Forte"/>
              </w:rPr>
              <w:t>Período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9577B" w14:textId="77777777" w:rsidR="00000000" w:rsidRDefault="00000000">
            <w:pPr>
              <w:pStyle w:val="NormalWeb"/>
              <w:jc w:val="center"/>
            </w:pPr>
            <w:r>
              <w:rPr>
                <w:rStyle w:val="Forte"/>
              </w:rPr>
              <w:t>Analista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BDD668" w14:textId="77777777" w:rsidR="00000000" w:rsidRDefault="00000000"/>
        </w:tc>
      </w:tr>
      <w:tr w:rsidR="00000000" w14:paraId="0C693EC4" w14:textId="77777777">
        <w:trPr>
          <w:divId w:val="36602764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BDBC4B" w14:textId="77777777" w:rsidR="00000000" w:rsidRDefault="00000000">
            <w:pPr>
              <w:pStyle w:val="NormalWeb"/>
              <w:jc w:val="center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ED699B" w14:textId="77777777" w:rsidR="00000000" w:rsidRDefault="00000000">
            <w:pPr>
              <w:pStyle w:val="NormalWeb"/>
              <w:jc w:val="center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F9296A" w14:textId="77777777" w:rsidR="00000000" w:rsidRDefault="00000000">
            <w:pPr>
              <w:pStyle w:val="NormalWeb"/>
              <w:jc w:val="center"/>
            </w:pPr>
            <w:r>
              <w:t>13/12 à 17/12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B693A2" w14:textId="77777777" w:rsidR="00000000" w:rsidRDefault="00000000">
            <w:pPr>
              <w:pStyle w:val="NormalWeb"/>
              <w:jc w:val="center"/>
            </w:pPr>
            <w:r>
              <w:t>Alessandra Silva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4A9CAC" w14:textId="77777777" w:rsidR="00000000" w:rsidRDefault="00000000"/>
        </w:tc>
      </w:tr>
    </w:tbl>
    <w:p w14:paraId="3C99953C" w14:textId="77777777" w:rsidR="00000000" w:rsidRDefault="00000000">
      <w:pPr>
        <w:pStyle w:val="Ttulo3"/>
        <w:rPr>
          <w:rFonts w:eastAsia="Times New Roman"/>
        </w:rPr>
      </w:pPr>
      <w:r>
        <w:rPr>
          <w:rFonts w:eastAsia="Times New Roman"/>
        </w:rPr>
        <w:t>Descrição</w:t>
      </w:r>
    </w:p>
    <w:p w14:paraId="6AFEE2D4" w14:textId="77777777" w:rsidR="00000000" w:rsidRDefault="00000000">
      <w:pPr>
        <w:pStyle w:val="NormalWeb"/>
      </w:pPr>
      <w:r>
        <w:t>Garantir a consistência entre os dados de loja (POS) e retaguarda (ERP Visual Linx) no processo de sincronização de NF-e, eliminando inconsistências geradas por mudanças de exceções de imposto.</w:t>
      </w:r>
      <w:r>
        <w:br/>
      </w:r>
      <w:r>
        <w:br/>
        <w:t>Critérios de aceite</w:t>
      </w:r>
    </w:p>
    <w:p w14:paraId="4F50DC85" w14:textId="77777777" w:rsidR="00000000" w:rsidRDefault="00000000">
      <w:pPr>
        <w:pStyle w:val="NormalWeb"/>
      </w:pPr>
      <w:r>
        <w:rPr>
          <w:rStyle w:val="Forte"/>
        </w:rPr>
        <w:t>Rejeição com exceção inicial de 6 impostos e atualização para 5 impostos</w:t>
      </w:r>
    </w:p>
    <w:p w14:paraId="6C28BDBE" w14:textId="77777777" w:rsidR="00000000" w:rsidRDefault="00000000">
      <w:pPr>
        <w:pStyle w:val="NormalWeb"/>
      </w:pPr>
      <w:r>
        <w:rPr>
          <w:rStyle w:val="Forte"/>
        </w:rPr>
        <w:t>Premissas:</w:t>
      </w:r>
    </w:p>
    <w:p w14:paraId="720423A6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Emitir NF-e com exceção de imposto inicial (6 impostos: ICMS, PIS, COFINS, IPI, ICMS-ST, FECP).</w:t>
      </w:r>
      <w:r>
        <w:rPr>
          <w:rFonts w:eastAsia="Times New Roman"/>
        </w:rPr>
        <w:br/>
        <w:t>2. Registrar rejeição.</w:t>
      </w:r>
      <w:r>
        <w:rPr>
          <w:rFonts w:eastAsia="Times New Roman"/>
        </w:rPr>
        <w:br/>
        <w:t>3. Atualizar para exceção com 5 impostos.</w:t>
      </w:r>
      <w:r>
        <w:rPr>
          <w:rFonts w:eastAsia="Times New Roman"/>
        </w:rPr>
        <w:br/>
        <w:t>4. Sincronizar com a retaguarda.</w:t>
      </w:r>
    </w:p>
    <w:p w14:paraId="23D87A70" w14:textId="77777777" w:rsidR="00000000" w:rsidRDefault="00000000">
      <w:pPr>
        <w:pStyle w:val="NormalWeb"/>
      </w:pPr>
      <w:r>
        <w:rPr>
          <w:rStyle w:val="Forte"/>
        </w:rPr>
        <w:t>Resultados Esperado</w:t>
      </w:r>
    </w:p>
    <w:p w14:paraId="42DDDA27" w14:textId="77777777" w:rsidR="00000000" w:rsidRDefault="00000000">
      <w:pPr>
        <w:pStyle w:val="NormalWeb"/>
      </w:pPr>
      <w:r>
        <w:t>O imposto FECP é marcado como INATIVO = '1' na tabela LOJA_NOTA_FISCAL_IMPOSTO e não deverá aparecer na tela 300081 na Aba Imposto</w:t>
      </w:r>
    </w:p>
    <w:p w14:paraId="5406DE3D" w14:textId="77777777" w:rsidR="00000000" w:rsidRDefault="00000000">
      <w:pPr>
        <w:pStyle w:val="NormalWeb"/>
      </w:pPr>
    </w:p>
    <w:p w14:paraId="26889C5C" w14:textId="77777777" w:rsidR="00000000" w:rsidRDefault="00000000">
      <w:pPr>
        <w:pStyle w:val="NormalWeb"/>
      </w:pPr>
      <w:r>
        <w:rPr>
          <w:color w:val="003366"/>
          <w:u w:val="single"/>
        </w:rPr>
        <w:lastRenderedPageBreak/>
        <w:t>Observação: O teste ainda não pode ser feito integrado pois falta o desenvolvimento pela parte do POS.</w:t>
      </w:r>
    </w:p>
    <w:p w14:paraId="61E332DD" w14:textId="77777777" w:rsidR="00000000" w:rsidRDefault="00000000">
      <w:pPr>
        <w:pStyle w:val="NormalWeb"/>
      </w:pPr>
    </w:p>
    <w:p w14:paraId="64232006" w14:textId="77777777" w:rsidR="00000000" w:rsidRDefault="00000000">
      <w:pPr>
        <w:pStyle w:val="Ttulo3"/>
        <w:rPr>
          <w:rFonts w:eastAsia="Times New Roman"/>
        </w:rPr>
      </w:pPr>
      <w:r>
        <w:rPr>
          <w:rFonts w:eastAsia="Times New Roman"/>
        </w:rPr>
        <w:t>Roteiro de Testes e Validação.</w:t>
      </w:r>
    </w:p>
    <w:p w14:paraId="32907AEB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Novo Layout da tela300081 onde no 1- Cabeçalho consta um botão que direciona para a tela 009018 - Lançamento contábil.</w:t>
      </w:r>
    </w:p>
    <w:p w14:paraId="6BC8630F" w14:textId="77777777" w:rsidR="00000000" w:rsidRDefault="00000000">
      <w:pPr>
        <w:pStyle w:val="NormalWeb"/>
      </w:pPr>
      <w:r>
        <w:rPr>
          <w:noProof/>
          <w:color w:val="003366"/>
        </w:rPr>
        <w:drawing>
          <wp:inline distT="0" distB="0" distL="0" distR="0" wp14:anchorId="6CCDE522" wp14:editId="31DC394C">
            <wp:extent cx="4457700" cy="24257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8D208D" w14:textId="77777777" w:rsidR="00000000" w:rsidRDefault="00000000">
      <w:pPr>
        <w:pStyle w:val="NormalWeb"/>
      </w:pPr>
    </w:p>
    <w:p w14:paraId="1E267C7E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Na aba Impostos constam dois checkbox “Mostrar apenas Impostos que existem na exceção de Imposto” e “Mostrar apenas Impostos que não existem na exceção de Imposto”</w:t>
      </w:r>
    </w:p>
    <w:p w14:paraId="4582BB40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688EDA78" wp14:editId="255066B3">
            <wp:extent cx="4457700" cy="17907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56648C" w14:textId="77777777" w:rsidR="00000000" w:rsidRDefault="00000000">
      <w:pPr>
        <w:pStyle w:val="NormalWeb"/>
      </w:pPr>
    </w:p>
    <w:p w14:paraId="645C2C5E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lastRenderedPageBreak/>
        <w:t xml:space="preserve">Marcando o checkbox </w:t>
      </w:r>
      <w:r>
        <w:rPr>
          <w:rFonts w:eastAsia="Times New Roman"/>
          <w:u w:val="single"/>
        </w:rPr>
        <w:t xml:space="preserve">Mostrar apenas Impostos que existem na exceção de Imposto </w:t>
      </w:r>
      <w:r>
        <w:rPr>
          <w:rFonts w:eastAsia="Times New Roman"/>
        </w:rPr>
        <w:t>na grid mostrará apenas os impostos que constam na Exceção, assim como no coluna Exceção mostra a numeração da que foi utilizada.</w:t>
      </w:r>
    </w:p>
    <w:p w14:paraId="3F1F065D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41D87328" wp14:editId="27C68EF6">
            <wp:extent cx="4457700" cy="24003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43ED10" w14:textId="77777777" w:rsidR="00000000" w:rsidRDefault="00000000">
      <w:pPr>
        <w:pStyle w:val="NormalWeb"/>
      </w:pPr>
    </w:p>
    <w:p w14:paraId="5CEA3908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Marcando o checkbox </w:t>
      </w:r>
      <w:r>
        <w:rPr>
          <w:rFonts w:eastAsia="Times New Roman"/>
          <w:u w:val="single"/>
        </w:rPr>
        <w:t xml:space="preserve">Mostrar apenas Impostos que não existem na exceção de Imposto </w:t>
      </w:r>
      <w:r>
        <w:rPr>
          <w:rFonts w:eastAsia="Times New Roman"/>
        </w:rPr>
        <w:t>na grid mostrará apenas os impostos que NÃO constam na exceção de imposto.</w:t>
      </w:r>
    </w:p>
    <w:p w14:paraId="209AC6EB" w14:textId="77777777" w:rsidR="00626D9D" w:rsidRDefault="00000000">
      <w:pPr>
        <w:pStyle w:val="NormalWeb"/>
      </w:pPr>
      <w:r>
        <w:rPr>
          <w:noProof/>
        </w:rPr>
        <w:drawing>
          <wp:inline distT="0" distB="0" distL="0" distR="0" wp14:anchorId="07674D82" wp14:editId="21153B69">
            <wp:extent cx="4457700" cy="240665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0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26D9D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B87FDB"/>
    <w:multiLevelType w:val="multilevel"/>
    <w:tmpl w:val="A7108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383884"/>
    <w:multiLevelType w:val="multilevel"/>
    <w:tmpl w:val="AA307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966964"/>
    <w:multiLevelType w:val="multilevel"/>
    <w:tmpl w:val="D73482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DE24E0"/>
    <w:multiLevelType w:val="multilevel"/>
    <w:tmpl w:val="D7545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1FA4F49"/>
    <w:multiLevelType w:val="multilevel"/>
    <w:tmpl w:val="CF86E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4428904">
    <w:abstractNumId w:val="2"/>
  </w:num>
  <w:num w:numId="2" w16cid:durableId="1448430778">
    <w:abstractNumId w:val="4"/>
  </w:num>
  <w:num w:numId="3" w16cid:durableId="2061860426">
    <w:abstractNumId w:val="1"/>
  </w:num>
  <w:num w:numId="4" w16cid:durableId="116219492">
    <w:abstractNumId w:val="0"/>
  </w:num>
  <w:num w:numId="5" w16cid:durableId="358749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900"/>
    <w:rsid w:val="003C237D"/>
    <w:rsid w:val="00626D9D"/>
    <w:rsid w:val="00B8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5E0772"/>
  <w15:chartTrackingRefBased/>
  <w15:docId w15:val="{A21D8157-F9F8-4541-8595-F35C49FF7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3">
    <w:name w:val="heading 3"/>
    <w:basedOn w:val="Normal"/>
    <w:link w:val="Ttulo3Char"/>
    <w:uiPriority w:val="9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3Char">
    <w:name w:val="Título 3 Char"/>
    <w:basedOn w:val="Fontepargpadro"/>
    <w:link w:val="Ttulo3"/>
    <w:uiPriority w:val="9"/>
    <w:semiHidden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602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mp"/><Relationship Id="rId3" Type="http://schemas.openxmlformats.org/officeDocument/2006/relationships/settings" Target="settings.xml"/><Relationship Id="rId7" Type="http://schemas.openxmlformats.org/officeDocument/2006/relationships/image" Target="media/image2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mp"/><Relationship Id="rId11" Type="http://schemas.openxmlformats.org/officeDocument/2006/relationships/theme" Target="theme/theme1.xml"/><Relationship Id="rId5" Type="http://schemas.openxmlformats.org/officeDocument/2006/relationships/hyperlink" Target="https://jira.linx.com.br/browse/LINXERP-1183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1572</Characters>
  <Application>Microsoft Office Word</Application>
  <DocSecurity>0</DocSecurity>
  <Lines>13</Lines>
  <Paragraphs>3</Paragraphs>
  <ScaleCrop>false</ScaleCrop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 - Melhoria na Sincronização de NF-e entre POS e Retaguarda</dc:title>
  <dc:subject/>
  <dc:creator>Katharina Helena Louro Dvorzak</dc:creator>
  <cp:keywords/>
  <dc:description/>
  <cp:lastModifiedBy>Katharina Helena Louro Dvorzak</cp:lastModifiedBy>
  <cp:revision>2</cp:revision>
  <dcterms:created xsi:type="dcterms:W3CDTF">2024-12-20T21:24:00Z</dcterms:created>
  <dcterms:modified xsi:type="dcterms:W3CDTF">2024-12-20T21:24:00Z</dcterms:modified>
</cp:coreProperties>
</file>